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8A41" w14:textId="77777777" w:rsidR="00335A98" w:rsidRPr="009A3A12" w:rsidRDefault="00335A98" w:rsidP="00335A98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13. </w:t>
      </w:r>
      <w:r w:rsidRPr="009A3A12">
        <w:rPr>
          <w:rFonts w:ascii="Times New Roman" w:eastAsia="Times New Roman" w:hAnsi="Times New Roman" w:cs="Times New Roman"/>
          <w:b/>
          <w:color w:val="000000"/>
        </w:rPr>
        <w:t>Tropical Cyclone in Shear Experiment</w:t>
      </w:r>
    </w:p>
    <w:p w14:paraId="1A60B99B" w14:textId="77777777" w:rsidR="00335A98" w:rsidRPr="009A3A12" w:rsidRDefault="00335A98" w:rsidP="00335A98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</w:p>
    <w:p w14:paraId="0BBD288F" w14:textId="77777777" w:rsidR="00335A98" w:rsidRPr="009A3A12" w:rsidRDefault="00335A98" w:rsidP="00335A98">
      <w:pPr>
        <w:widowControl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 xml:space="preserve">Principal Investigator(s): Paul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Reasor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(lead), Jason Dunion, John Kaplan, Leon Nguyen, Rob Rogers, Jon Zawislak, Jun Zhang, Michael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Riemer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(Johannes Gutenberg-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Universität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>)</w:t>
      </w:r>
    </w:p>
    <w:p w14:paraId="72C9A0BB" w14:textId="77777777" w:rsidR="00335A98" w:rsidRPr="009A3A12" w:rsidRDefault="00335A98" w:rsidP="00335A98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</w:p>
    <w:p w14:paraId="3C281B46" w14:textId="77777777" w:rsidR="00335A98" w:rsidRPr="009A3A12" w:rsidRDefault="00335A98" w:rsidP="00335A98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Mission Description: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wind, temperature and moisture fields within and around a tropical cyclone experiencing a significant increase in environmental vertical wind shear (&gt; 10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kts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in 24 h).</w:t>
      </w:r>
    </w:p>
    <w:p w14:paraId="69AB1149" w14:textId="77777777" w:rsidR="00335A98" w:rsidRPr="009A3A12" w:rsidRDefault="00335A98" w:rsidP="00335A98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2C31AF3" w14:textId="77777777" w:rsidR="00335A98" w:rsidRPr="009A3A12" w:rsidRDefault="00335A98" w:rsidP="00335A98">
      <w:pPr>
        <w:widowControl/>
        <w:spacing w:after="120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G-IV Module 1</w:t>
      </w:r>
    </w:p>
    <w:p w14:paraId="71EDB8A9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environment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a TC for which the distance of the center from significant land mass and significant SST gradients exceeds ~ 3x the radius of maximum wind.</w:t>
      </w:r>
    </w:p>
    <w:p w14:paraId="47D22A2C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before a significant increase in environmental vertical wind shear; during the period of maximum vortex tilt. Coordinate G-IV take-off with the corresponding P-3 mission such that the innermost G-IV circumnavigation coincides with the P-3 sampling.</w:t>
      </w:r>
    </w:p>
    <w:p w14:paraId="64A8C0B6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G-IV Circumnavigation (Hexagon). Should be storm centered. Alternate patterns: G-IV Circumnavigation (Octagon) for more sondes; G-IV Star if TDR coverage is not crucial</w:t>
      </w:r>
    </w:p>
    <w:p w14:paraId="38F5E115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40-45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</w:p>
    <w:p w14:paraId="4BC8A9BC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150 n mi, 90 n mi, and 60 n mi</w:t>
      </w:r>
    </w:p>
    <w:p w14:paraId="6C247998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4 h 25 min</w:t>
      </w:r>
    </w:p>
    <w:p w14:paraId="4E59B66D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Standard (18 dropsondes total).</w:t>
      </w:r>
    </w:p>
    <w:p w14:paraId="62B85753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TDR defaults. Use straight flight legs as safety permits.</w:t>
      </w:r>
    </w:p>
    <w:p w14:paraId="54FB024A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C93A361" w14:textId="77777777" w:rsidR="00335A98" w:rsidRPr="009A3A12" w:rsidRDefault="00335A98" w:rsidP="00335A98">
      <w:pPr>
        <w:widowControl/>
        <w:spacing w:after="120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1</w:t>
      </w:r>
    </w:p>
    <w:p w14:paraId="06EF998E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core region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a TC for which the distance of the center from significant land mass and significant SST gradients exceeds ~ 3x the radius of maximum wind. </w:t>
      </w:r>
    </w:p>
    <w:p w14:paraId="30E2A3D8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before a significant increase in environmental vertical wind shear. The P-3 should be coordinated with G-IV Module 1.</w:t>
      </w:r>
    </w:p>
    <w:p w14:paraId="01B46559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Rotated Figure-4. Alternate patterns: Butterfly; Fig-4; Alpha</w:t>
      </w:r>
    </w:p>
    <w:p w14:paraId="00A0AC93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12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preferable for best dropsonde coverage</w:t>
      </w:r>
    </w:p>
    <w:p w14:paraId="2F094172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</w:t>
      </w:r>
    </w:p>
    <w:p w14:paraId="11208C2D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5 h</w:t>
      </w:r>
    </w:p>
    <w:p w14:paraId="28AE51E9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Modify standard by including an RMW dropsonde, moving the mid-point dropsonde to half the radius of innermost G-IV circumnavigation (or 30 n mi) and removing turn-point dropsondes. Modification ensures eyewall thermodynamic coverage and 30 n mi radial sampling of thermodynamic fields immediately outside the eyewall. Modification also leverages availability of G-IV dropsondes (20 dropsondes total).</w:t>
      </w:r>
    </w:p>
    <w:p w14:paraId="42891247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lastRenderedPageBreak/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TDR defaults. Use straight flight legs as safety permits. Inbound-outbound passes should be uninterrupted.</w:t>
      </w:r>
    </w:p>
    <w:p w14:paraId="1F8EF996" w14:textId="77777777" w:rsidR="00335A98" w:rsidRDefault="00335A98" w:rsidP="00335A98">
      <w:pPr>
        <w:widowControl/>
        <w:spacing w:after="120"/>
        <w:ind w:left="360" w:hanging="36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B09ABBC" w14:textId="77777777" w:rsidR="00335A98" w:rsidRPr="009A3A12" w:rsidRDefault="00335A98" w:rsidP="00335A98">
      <w:pPr>
        <w:widowControl/>
        <w:spacing w:after="120"/>
        <w:ind w:left="360" w:hanging="36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D0E26A2" w14:textId="77777777" w:rsidR="00335A98" w:rsidRPr="009A3A12" w:rsidRDefault="00335A98" w:rsidP="00335A98">
      <w:pPr>
        <w:widowControl/>
        <w:spacing w:after="120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2</w:t>
      </w:r>
    </w:p>
    <w:p w14:paraId="32ECFECD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core region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a TC for which the distance of the center from significant land mass and significant SST gradients exceeds ~ 3x the radius of maximum wind.</w:t>
      </w:r>
    </w:p>
    <w:p w14:paraId="48F7D22B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as the large-scale, deep-layer shear increases and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downshear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convective asymmetry is evident; when the TC core exhibits large vertical tilt (an intensifying TC may have reduced its rate of intensification or begun to weaken); and when the TC core has realigned (a weakening or steady state TC may have begun to intensify).</w:t>
      </w:r>
    </w:p>
    <w:p w14:paraId="66469156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Figure-4, fly 45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deg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downwind, then uninterrupted small-scale Rotated Figure-4. Orient initial pass along shear vector if possible. Purpose of small-scale Rotated Figure-4 is high-temporal-resolution sampling of eyewall and near-eyewall thermodynamic structure. Alternate (small-scale) patterns: Butterfly for coarser azimuthal sampling; P-3 Circumnavigation </w:t>
      </w:r>
    </w:p>
    <w:p w14:paraId="3C4288A7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12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preferable for best dropsonde coverage</w:t>
      </w:r>
    </w:p>
    <w:p w14:paraId="5F814489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 (initial Figure-4); small-scale Rotated Figure-4 should extend just beyond the primary region of organized convection outside the eyewall (~15-30 n mi beyond </w:t>
      </w:r>
      <w:r w:rsidRPr="009A3A12">
        <w:rPr>
          <w:rFonts w:ascii="Times New Roman" w:eastAsia="Times New Roman" w:hAnsi="Times New Roman" w:cs="Times New Roman"/>
          <w:i/>
          <w:color w:val="000000"/>
        </w:rPr>
        <w:t>mean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radius of maximum wind).</w:t>
      </w:r>
    </w:p>
    <w:p w14:paraId="7D2F1BC0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4 h 45 min for Figure-4 + Rotated Figure-4 (45 n mi legs)</w:t>
      </w:r>
    </w:p>
    <w:p w14:paraId="134888BE" w14:textId="77777777" w:rsidR="00335A98" w:rsidRPr="009A3A12" w:rsidRDefault="00335A98" w:rsidP="00335A98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For initial Figure-4, modify standard by removing mid-point dropsondes (if G-IV present, remove IP and turn-point dropsondes). For small-scale Rotated Figure-4, modify standard by launching 4 equally-spaced dropsondes from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mean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radius of maximum wind to the turn point of each leg (42 dropsondes total, 38 if G-IV present). Given limited resources, may target only quadrant </w:t>
      </w:r>
      <w:r w:rsidRPr="009A3A12">
        <w:rPr>
          <w:rFonts w:ascii="Times New Roman" w:eastAsia="Times New Roman" w:hAnsi="Times New Roman" w:cs="Times New Roman"/>
          <w:i/>
          <w:color w:val="000000"/>
        </w:rPr>
        <w:t>downwind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organized convection (22 dropsondes total, 18 if G-IV present).</w:t>
      </w:r>
    </w:p>
    <w:p w14:paraId="60B29B64" w14:textId="77777777" w:rsidR="00335A98" w:rsidRDefault="00335A98" w:rsidP="00335A9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TDR defaults. Use straight flight legs as safety permits. Inbound-outbound passes should be uninterrupted. </w:t>
      </w:r>
    </w:p>
    <w:p w14:paraId="3F003846" w14:textId="77777777" w:rsidR="00644C80" w:rsidRDefault="00335A98">
      <w:bookmarkStart w:id="0" w:name="_GoBack"/>
      <w:bookmarkEnd w:id="0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98"/>
    <w:rsid w:val="000203E1"/>
    <w:rsid w:val="00041A73"/>
    <w:rsid w:val="00335A98"/>
    <w:rsid w:val="007D3213"/>
    <w:rsid w:val="008921B8"/>
    <w:rsid w:val="00B57E33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75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A98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Macintosh Word</Application>
  <DocSecurity>0</DocSecurity>
  <Lines>30</Lines>
  <Paragraphs>8</Paragraphs>
  <ScaleCrop>false</ScaleCrop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2017-05-30T14:39:00Z</dcterms:created>
  <dcterms:modified xsi:type="dcterms:W3CDTF">2017-05-30T14:39:00Z</dcterms:modified>
</cp:coreProperties>
</file>