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22FB8" w14:textId="77777777" w:rsidR="00AB5D0C" w:rsidRPr="009A3A12" w:rsidRDefault="00AB5D0C" w:rsidP="00AB5D0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12. </w:t>
      </w:r>
      <w:r w:rsidRPr="009A3A12">
        <w:rPr>
          <w:rFonts w:ascii="Times New Roman" w:eastAsia="Times New Roman" w:hAnsi="Times New Roman" w:cs="Times New Roman"/>
          <w:b/>
          <w:color w:val="000000"/>
        </w:rPr>
        <w:t>Analysis of Intensification Processes Experiment (AIPEX)</w:t>
      </w:r>
    </w:p>
    <w:p w14:paraId="14ED7F76" w14:textId="77777777" w:rsidR="00AB5D0C" w:rsidRPr="009A3A12" w:rsidRDefault="00AB5D0C" w:rsidP="00AB5D0C">
      <w:pPr>
        <w:spacing w:after="0"/>
        <w:jc w:val="center"/>
        <w:rPr>
          <w:rFonts w:ascii="Arial" w:eastAsia="Arial" w:hAnsi="Arial" w:cs="Arial"/>
          <w:color w:val="000000"/>
        </w:rPr>
      </w:pPr>
    </w:p>
    <w:p w14:paraId="763F8EA2" w14:textId="77777777" w:rsidR="00AB5D0C" w:rsidRPr="009A3A12" w:rsidRDefault="00AB5D0C" w:rsidP="00AB5D0C">
      <w:pPr>
        <w:spacing w:after="0"/>
        <w:jc w:val="center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color w:val="000000"/>
        </w:rPr>
        <w:t>Principal Investigator(s): Jon Zawisla</w:t>
      </w:r>
      <w:r>
        <w:rPr>
          <w:rFonts w:ascii="Times New Roman" w:eastAsia="Times New Roman" w:hAnsi="Times New Roman" w:cs="Times New Roman"/>
          <w:color w:val="000000"/>
        </w:rPr>
        <w:t>k (FIU/HRD), Robert Rogers</w:t>
      </w:r>
      <w:r w:rsidRPr="009A3A12">
        <w:rPr>
          <w:rFonts w:ascii="Times New Roman" w:eastAsia="Times New Roman" w:hAnsi="Times New Roman" w:cs="Times New Roman"/>
          <w:color w:val="000000"/>
        </w:rPr>
        <w:t>, Leon Nguyen (NRC/HRD), John Kapla</w:t>
      </w:r>
      <w:r>
        <w:rPr>
          <w:rFonts w:ascii="Times New Roman" w:eastAsia="Times New Roman" w:hAnsi="Times New Roman" w:cs="Times New Roman"/>
          <w:color w:val="000000"/>
        </w:rPr>
        <w:t xml:space="preserve">n, Jason Dunion, Paul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Reasor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and Jun Zhang</w:t>
      </w:r>
    </w:p>
    <w:p w14:paraId="7F4FC29A" w14:textId="77777777" w:rsidR="00AB5D0C" w:rsidRPr="009A3A12" w:rsidRDefault="00AB5D0C" w:rsidP="00AB5D0C">
      <w:pPr>
        <w:spacing w:after="0"/>
        <w:rPr>
          <w:rFonts w:ascii="Arial" w:eastAsia="Arial" w:hAnsi="Arial" w:cs="Arial"/>
          <w:color w:val="000000"/>
        </w:rPr>
      </w:pPr>
    </w:p>
    <w:p w14:paraId="31E98190" w14:textId="77777777" w:rsidR="00AB5D0C" w:rsidRPr="009A3A12" w:rsidRDefault="00AB5D0C" w:rsidP="00AB5D0C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Mission Description: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Collect precipitation, kinematic, thermodynamic, and ocean observations within the environment, near environment (~100 km, or 60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nmi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>), and inner core regions of tropical cyclones (TCs) that have a reasonable potential for intensification (based on statistical and/or numerical model forecast guidance), with a particular focus on the early stages (i.e., TD, TS, weak hurricane). When possible (i.e., subject to range, timing, and other logistical constraints), missions will begin at least 24 h prior to the expected onset of intensification.</w:t>
      </w:r>
    </w:p>
    <w:p w14:paraId="661C2F47" w14:textId="77777777" w:rsidR="00AB5D0C" w:rsidRPr="003E7685" w:rsidRDefault="00AB5D0C" w:rsidP="00AB5D0C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624E98F2" w14:textId="77777777" w:rsidR="00AB5D0C" w:rsidRPr="009A3A12" w:rsidRDefault="00AB5D0C" w:rsidP="00AB5D0C">
      <w:pPr>
        <w:spacing w:after="120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G-IV Module 1</w:t>
      </w:r>
    </w:p>
    <w:p w14:paraId="7C4E7A2A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What to Target: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Sample the environment and near environment of the TC</w:t>
      </w:r>
    </w:p>
    <w:p w14:paraId="69B19FEE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When to Target: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Every 12 h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optimal</w:t>
      </w:r>
      <w:r w:rsidRPr="009A3A12">
        <w:rPr>
          <w:rFonts w:ascii="Times New Roman" w:eastAsia="Times New Roman" w:hAnsi="Times New Roman" w:cs="Times New Roman"/>
          <w:color w:val="000000"/>
        </w:rPr>
        <w:t>] or every 24 h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minimal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], preferably in coordination with a corresponding P-3 mission (P-3 Module 1). </w:t>
      </w:r>
    </w:p>
    <w:p w14:paraId="5E516545" w14:textId="77777777" w:rsidR="00AB5D0C" w:rsidRPr="009A3A12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Pattern: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G-IV Circumnavigation (octagon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optimal</w:t>
      </w:r>
      <w:r w:rsidRPr="009A3A12">
        <w:rPr>
          <w:rFonts w:ascii="Times New Roman" w:eastAsia="Times New Roman" w:hAnsi="Times New Roman" w:cs="Times New Roman"/>
          <w:color w:val="000000"/>
        </w:rPr>
        <w:t>], hexagon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minimal</w:t>
      </w:r>
      <w:r w:rsidRPr="009A3A12">
        <w:rPr>
          <w:rFonts w:ascii="Times New Roman" w:eastAsia="Times New Roman" w:hAnsi="Times New Roman" w:cs="Times New Roman"/>
          <w:color w:val="000000"/>
        </w:rPr>
        <w:t>]). Should be storm centered and oriented such that the left and right of shear semicircles are sampled equally by dropsondes.</w:t>
      </w:r>
    </w:p>
    <w:p w14:paraId="73A6F2E9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Flight altitude: 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40–45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kft</w:t>
      </w:r>
      <w:proofErr w:type="spellEnd"/>
    </w:p>
    <w:p w14:paraId="66C1D598" w14:textId="77777777" w:rsidR="00AB5D0C" w:rsidRPr="009A3A12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Leg length or radii: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200 n mi (370 km), 120 n mi (222 km), and 60 n mi (111 km) (radii)</w:t>
      </w: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9A3A12">
        <w:rPr>
          <w:rFonts w:ascii="Times New Roman" w:eastAsia="Times New Roman" w:hAnsi="Times New Roman" w:cs="Times New Roman"/>
          <w:color w:val="000000"/>
        </w:rPr>
        <w:t>The innermost radii can be adjusted outward if necessitated by hazard avoidance (outer two radii rings should be similarly adjusted, if time allows).</w:t>
      </w:r>
    </w:p>
    <w:p w14:paraId="352C1949" w14:textId="77777777" w:rsidR="00AB5D0C" w:rsidRPr="009A3A12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Estimated in-pattern flight duration: ~ </w:t>
      </w:r>
      <w:r w:rsidRPr="009A3A12">
        <w:rPr>
          <w:rFonts w:ascii="Times New Roman" w:eastAsia="Times New Roman" w:hAnsi="Times New Roman" w:cs="Times New Roman"/>
          <w:color w:val="000000"/>
        </w:rPr>
        <w:t>5–6 h</w:t>
      </w:r>
    </w:p>
    <w:p w14:paraId="77D2E307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Expendable distribution: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Dropsonde at each turn point; 24 in total (octagon)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optimal</w:t>
      </w:r>
      <w:r w:rsidRPr="009A3A12">
        <w:rPr>
          <w:rFonts w:ascii="Times New Roman" w:eastAsia="Times New Roman" w:hAnsi="Times New Roman" w:cs="Times New Roman"/>
          <w:color w:val="000000"/>
        </w:rPr>
        <w:t>], or 18 in total (hexagon)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minimal</w:t>
      </w:r>
      <w:r w:rsidRPr="009A3A12">
        <w:rPr>
          <w:rFonts w:ascii="Times New Roman" w:eastAsia="Times New Roman" w:hAnsi="Times New Roman" w:cs="Times New Roman"/>
          <w:color w:val="000000"/>
        </w:rPr>
        <w:t>]</w:t>
      </w:r>
    </w:p>
    <w:p w14:paraId="705C77C1" w14:textId="77777777" w:rsidR="00AB5D0C" w:rsidRPr="009A3A12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Instrumentation Notes: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Use TDR defaults. Use straight flight legs as safety permits.</w:t>
      </w:r>
    </w:p>
    <w:p w14:paraId="266B1CD4" w14:textId="77777777" w:rsidR="00AB5D0C" w:rsidRPr="003E7685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763DB246" w14:textId="77777777" w:rsidR="00AB5D0C" w:rsidRPr="009A3A12" w:rsidRDefault="00AB5D0C" w:rsidP="00AB5D0C">
      <w:pPr>
        <w:spacing w:after="120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G-IV Module 2 </w:t>
      </w:r>
    </w:p>
    <w:p w14:paraId="37ED2FA6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What to Target: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Sample the surrounding environment of the TC</w:t>
      </w:r>
    </w:p>
    <w:p w14:paraId="2149D5D6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When to Target: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Every 12 h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optimal</w:t>
      </w:r>
      <w:r w:rsidRPr="009A3A12">
        <w:rPr>
          <w:rFonts w:ascii="Times New Roman" w:eastAsia="Times New Roman" w:hAnsi="Times New Roman" w:cs="Times New Roman"/>
          <w:color w:val="000000"/>
        </w:rPr>
        <w:t>] or every 24 h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minimal</w:t>
      </w:r>
      <w:r w:rsidRPr="009A3A12">
        <w:rPr>
          <w:rFonts w:ascii="Times New Roman" w:eastAsia="Times New Roman" w:hAnsi="Times New Roman" w:cs="Times New Roman"/>
          <w:color w:val="000000"/>
        </w:rPr>
        <w:t>]</w:t>
      </w:r>
    </w:p>
    <w:p w14:paraId="289D471D" w14:textId="77777777" w:rsidR="00AB5D0C" w:rsidRPr="009A3A12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Pattern: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G-IV Star (with circumnavigation if no coordination with P-3)</w:t>
      </w:r>
    </w:p>
    <w:p w14:paraId="34BDEB3E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Flight altitude: 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40–45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kft</w:t>
      </w:r>
      <w:proofErr w:type="spellEnd"/>
    </w:p>
    <w:p w14:paraId="74F67CD7" w14:textId="77777777" w:rsidR="00AB5D0C" w:rsidRPr="009A3A12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Leg length or radii: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210 n mi (388 km) outer, 90 n mi (167 km) inner radii (</w:t>
      </w:r>
      <w:r w:rsidRPr="009A3A12">
        <w:rPr>
          <w:rFonts w:ascii="Times New Roman" w:eastAsia="Times New Roman" w:hAnsi="Times New Roman" w:cs="Times New Roman"/>
          <w:i/>
          <w:color w:val="000000"/>
        </w:rPr>
        <w:t>standard</w:t>
      </w:r>
      <w:r w:rsidRPr="009A3A12">
        <w:rPr>
          <w:rFonts w:ascii="Times New Roman" w:eastAsia="Times New Roman" w:hAnsi="Times New Roman" w:cs="Times New Roman"/>
          <w:color w:val="000000"/>
        </w:rPr>
        <w:t>). Depending on the time of day, aircraft duration limitations, and safety considerations, the lengths of the inner (outer) points could be shortened (extended) if an opportunity to sample a diurnal pulse presents itself (see TC Diurnal Cycle Experiment).</w:t>
      </w:r>
    </w:p>
    <w:p w14:paraId="2F2043B6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Estimated in-pattern flight duration: ~ </w:t>
      </w:r>
      <w:r w:rsidRPr="009A3A12">
        <w:rPr>
          <w:rFonts w:ascii="Times New Roman" w:eastAsia="Times New Roman" w:hAnsi="Times New Roman" w:cs="Times New Roman"/>
          <w:color w:val="000000"/>
        </w:rPr>
        <w:t>4 h (~ 5 h with circumnavigation)</w:t>
      </w:r>
    </w:p>
    <w:p w14:paraId="03D25D7C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Expendable distribution: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Dropsonde at each turn point; 13 dropsondes total (20 with </w:t>
      </w:r>
      <w:r w:rsidRPr="009A3A12">
        <w:rPr>
          <w:rFonts w:ascii="Times New Roman" w:eastAsia="Times New Roman" w:hAnsi="Times New Roman" w:cs="Times New Roman"/>
          <w:color w:val="000000"/>
        </w:rPr>
        <w:lastRenderedPageBreak/>
        <w:t>circumnavigation)</w:t>
      </w:r>
    </w:p>
    <w:p w14:paraId="385912A6" w14:textId="77777777" w:rsidR="00AB5D0C" w:rsidRPr="009A3A12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Instrumentation Notes: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Use TDR defaults. Use straight flight legs as safety permits.</w:t>
      </w:r>
    </w:p>
    <w:p w14:paraId="4C2D3169" w14:textId="77777777" w:rsidR="00AB5D0C" w:rsidRPr="009A3A12" w:rsidRDefault="00AB5D0C" w:rsidP="00AB5D0C">
      <w:pPr>
        <w:spacing w:after="120"/>
        <w:rPr>
          <w:rFonts w:ascii="Times New Roman" w:eastAsia="Times New Roman" w:hAnsi="Times New Roman" w:cs="Times New Roman"/>
          <w:b/>
          <w:color w:val="000000"/>
        </w:rPr>
      </w:pPr>
    </w:p>
    <w:p w14:paraId="7CCD7171" w14:textId="77777777" w:rsidR="00AB5D0C" w:rsidRPr="009A3A12" w:rsidRDefault="00AB5D0C" w:rsidP="00AB5D0C">
      <w:pPr>
        <w:spacing w:after="120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P-3 Module 1 </w:t>
      </w:r>
    </w:p>
    <w:p w14:paraId="7085F642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What to Target: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Sample the inner core region of a TC </w:t>
      </w:r>
    </w:p>
    <w:p w14:paraId="5E4525B4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When to Target: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Every 12 h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optimal</w:t>
      </w:r>
      <w:r w:rsidRPr="009A3A12">
        <w:rPr>
          <w:rFonts w:ascii="Times New Roman" w:eastAsia="Times New Roman" w:hAnsi="Times New Roman" w:cs="Times New Roman"/>
          <w:color w:val="000000"/>
        </w:rPr>
        <w:t>] or every 24 h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minimal</w:t>
      </w:r>
      <w:r w:rsidRPr="009A3A12">
        <w:rPr>
          <w:rFonts w:ascii="Times New Roman" w:eastAsia="Times New Roman" w:hAnsi="Times New Roman" w:cs="Times New Roman"/>
          <w:color w:val="000000"/>
        </w:rPr>
        <w:t>], preferably in coordination with a corresponding G-IV mission (G-IV Module 1 or G-IV Module 2).</w:t>
      </w:r>
    </w:p>
    <w:p w14:paraId="1DC4619B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Pattern: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Rotated Figure-4 </w:t>
      </w:r>
    </w:p>
    <w:p w14:paraId="11E12A6A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Flight altitude: </w:t>
      </w:r>
      <w:r w:rsidRPr="009A3A12">
        <w:rPr>
          <w:rFonts w:ascii="Times New Roman" w:eastAsia="Times New Roman" w:hAnsi="Times New Roman" w:cs="Times New Roman"/>
          <w:color w:val="000000"/>
        </w:rPr>
        <w:t>[</w:t>
      </w:r>
      <w:r w:rsidRPr="009A3A12">
        <w:rPr>
          <w:rFonts w:ascii="Times New Roman" w:eastAsia="Times New Roman" w:hAnsi="Times New Roman" w:cs="Times New Roman"/>
          <w:i/>
          <w:color w:val="000000"/>
        </w:rPr>
        <w:t>optimal</w:t>
      </w:r>
      <w:r w:rsidRPr="009A3A12">
        <w:rPr>
          <w:rFonts w:ascii="Times New Roman" w:eastAsia="Times New Roman" w:hAnsi="Times New Roman" w:cs="Times New Roman"/>
          <w:color w:val="000000"/>
        </w:rPr>
        <w:t>]</w:t>
      </w: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10–12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kft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 xml:space="preserve"> (5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kft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 xml:space="preserve"> is minimum altitude for dropsonde launches)</w:t>
      </w:r>
    </w:p>
    <w:p w14:paraId="0624D358" w14:textId="77777777" w:rsidR="00AB5D0C" w:rsidRPr="009A3A12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Leg length or radii: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105 n mi</w:t>
      </w:r>
    </w:p>
    <w:p w14:paraId="4DCC783D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Estimated in-pattern flight duration: ~ </w:t>
      </w:r>
      <w:r w:rsidRPr="009A3A12">
        <w:rPr>
          <w:rFonts w:ascii="Times New Roman" w:eastAsia="Times New Roman" w:hAnsi="Times New Roman" w:cs="Times New Roman"/>
          <w:color w:val="000000"/>
        </w:rPr>
        <w:t>5 h</w:t>
      </w:r>
    </w:p>
    <w:p w14:paraId="382D8883" w14:textId="77777777" w:rsidR="00AB5D0C" w:rsidRPr="009A3A12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Expendable distribution: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5DAE6F3" w14:textId="77777777" w:rsidR="00AB5D0C" w:rsidRPr="009A3A12" w:rsidRDefault="00AB5D0C" w:rsidP="00AB5D0C">
      <w:pPr>
        <w:spacing w:after="120"/>
        <w:ind w:left="540" w:hanging="18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color w:val="000000"/>
        </w:rPr>
        <w:t>[</w:t>
      </w:r>
      <w:r w:rsidRPr="009A3A12">
        <w:rPr>
          <w:rFonts w:ascii="Times New Roman" w:eastAsia="Times New Roman" w:hAnsi="Times New Roman" w:cs="Times New Roman"/>
          <w:i/>
          <w:color w:val="000000"/>
        </w:rPr>
        <w:t>optimal</w:t>
      </w:r>
      <w:r w:rsidRPr="009A3A12">
        <w:rPr>
          <w:rFonts w:ascii="Times New Roman" w:eastAsia="Times New Roman" w:hAnsi="Times New Roman" w:cs="Times New Roman"/>
          <w:color w:val="000000"/>
        </w:rPr>
        <w:t>] (up to 28 dropsondes total) Modify standard by moving the mid-point dropsonde to half the radius of innermost G-IV radii. AXBTs preferably paired with dropsondes at mid- and turn points and center.  If radius of maximum wind (RMW) is significantly different (&gt; 10 n mi) from any of the standard dropsonde locations, release dropsonde there, and also release dropsonde at 1.5 x RMW, subject to same constraint regarding proximity to standard dropsonde locations.  No AXBTs need to be coordinated with these RMW-based drops.</w:t>
      </w:r>
    </w:p>
    <w:p w14:paraId="79DADE8D" w14:textId="77777777" w:rsidR="00AB5D0C" w:rsidRPr="009A3A12" w:rsidRDefault="00AB5D0C" w:rsidP="00AB5D0C">
      <w:pPr>
        <w:spacing w:after="120"/>
        <w:ind w:left="540" w:hanging="18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color w:val="000000"/>
        </w:rPr>
        <w:t>[</w:t>
      </w:r>
      <w:r w:rsidRPr="009A3A12">
        <w:rPr>
          <w:rFonts w:ascii="Times New Roman" w:eastAsia="Times New Roman" w:hAnsi="Times New Roman" w:cs="Times New Roman"/>
          <w:i/>
          <w:color w:val="000000"/>
        </w:rPr>
        <w:t>minimal</w:t>
      </w:r>
      <w:r w:rsidRPr="009A3A12">
        <w:rPr>
          <w:rFonts w:ascii="Times New Roman" w:eastAsia="Times New Roman" w:hAnsi="Times New Roman" w:cs="Times New Roman"/>
          <w:color w:val="000000"/>
        </w:rPr>
        <w:t>] (10–12 dropsondes total) Modify standard as stated in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optimal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], keeping only midpoint drops, as well as center drops on the first and last pass. AXBTs preferably paired with dropsondes at midpoints and center. </w:t>
      </w:r>
    </w:p>
    <w:p w14:paraId="5C98C51A" w14:textId="77777777" w:rsidR="00AB5D0C" w:rsidRPr="009A3A12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Instrumentation Notes: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Use TDR defaults. Use straight flight legs as safety permits. Inbound-outbound passes should be uninterrupted. DWL should be downward looking, 20° off nadir.</w:t>
      </w:r>
    </w:p>
    <w:p w14:paraId="6BCE5647" w14:textId="77777777" w:rsidR="00AB5D0C" w:rsidRPr="009A3A12" w:rsidRDefault="00AB5D0C" w:rsidP="00AB5D0C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65D0C7D8" w14:textId="77777777" w:rsidR="00AB5D0C" w:rsidRPr="009A3A12" w:rsidRDefault="00AB5D0C" w:rsidP="00AB5D0C">
      <w:pPr>
        <w:spacing w:after="120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P-3 Module 2 (No coordination with the G-IV; TC experiencing a Precipitation Asymmetry)</w:t>
      </w:r>
    </w:p>
    <w:p w14:paraId="158F9299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i/>
          <w:color w:val="000000"/>
        </w:rPr>
      </w:pPr>
      <w:bookmarkStart w:id="0" w:name="_30j0zll" w:colFirst="0" w:colLast="0"/>
      <w:bookmarkEnd w:id="0"/>
      <w:r w:rsidRPr="009A3A12">
        <w:rPr>
          <w:rFonts w:ascii="Times New Roman" w:eastAsia="Times New Roman" w:hAnsi="Times New Roman" w:cs="Times New Roman"/>
          <w:b/>
          <w:color w:val="000000"/>
        </w:rPr>
        <w:t>What to Target: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Sample the inner core and near environment regions</w:t>
      </w:r>
      <w:r w:rsidRPr="009A3A12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of a TC when the </w:t>
      </w:r>
      <w:r w:rsidRPr="009A3A12">
        <w:rPr>
          <w:rFonts w:ascii="Times New Roman" w:eastAsia="Times New Roman" w:hAnsi="Times New Roman" w:cs="Times New Roman"/>
          <w:i/>
          <w:color w:val="000000"/>
        </w:rPr>
        <w:t>inner core precipitation distribution is asymmetric and when the G-IV is not available for coordination</w:t>
      </w:r>
    </w:p>
    <w:p w14:paraId="3FF7A4FD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When to Target: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Every 12 h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optimal</w:t>
      </w:r>
      <w:r w:rsidRPr="009A3A12">
        <w:rPr>
          <w:rFonts w:ascii="Times New Roman" w:eastAsia="Times New Roman" w:hAnsi="Times New Roman" w:cs="Times New Roman"/>
          <w:color w:val="000000"/>
        </w:rPr>
        <w:t>] or every 24 h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minimal</w:t>
      </w:r>
      <w:r w:rsidRPr="009A3A12">
        <w:rPr>
          <w:rFonts w:ascii="Times New Roman" w:eastAsia="Times New Roman" w:hAnsi="Times New Roman" w:cs="Times New Roman"/>
          <w:color w:val="000000"/>
        </w:rPr>
        <w:t>]</w:t>
      </w:r>
    </w:p>
    <w:p w14:paraId="1A815A99" w14:textId="77777777" w:rsidR="00AB5D0C" w:rsidRPr="009A3A12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Pattern: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F7D6D81" w14:textId="77777777" w:rsidR="00AB5D0C" w:rsidRPr="009A3A12" w:rsidRDefault="00AB5D0C" w:rsidP="00AB5D0C">
      <w:pPr>
        <w:spacing w:after="120"/>
        <w:ind w:firstLine="36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9A3A12">
        <w:rPr>
          <w:rFonts w:ascii="Times New Roman" w:eastAsia="Times New Roman" w:hAnsi="Times New Roman" w:cs="Times New Roman"/>
          <w:color w:val="000000"/>
        </w:rPr>
        <w:t>[</w:t>
      </w:r>
      <w:r w:rsidRPr="009A3A12">
        <w:rPr>
          <w:rFonts w:ascii="Times New Roman" w:eastAsia="Times New Roman" w:hAnsi="Times New Roman" w:cs="Times New Roman"/>
          <w:i/>
          <w:color w:val="000000"/>
        </w:rPr>
        <w:t>optimal</w:t>
      </w:r>
      <w:r w:rsidRPr="009A3A12">
        <w:rPr>
          <w:rFonts w:ascii="Times New Roman" w:eastAsia="Times New Roman" w:hAnsi="Times New Roman" w:cs="Times New Roman"/>
          <w:color w:val="000000"/>
        </w:rPr>
        <w:t>] P-3 Circumnavigation with rotated Figure-4 (</w:t>
      </w:r>
      <w:r w:rsidRPr="009A3A12">
        <w:rPr>
          <w:rFonts w:ascii="Times New Roman" w:eastAsia="Times New Roman" w:hAnsi="Times New Roman" w:cs="Times New Roman"/>
          <w:i/>
          <w:color w:val="000000"/>
        </w:rPr>
        <w:t xml:space="preserve">modified 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from the </w:t>
      </w:r>
      <w:r w:rsidRPr="009A3A12">
        <w:rPr>
          <w:rFonts w:ascii="Times New Roman" w:eastAsia="Times New Roman" w:hAnsi="Times New Roman" w:cs="Times New Roman"/>
          <w:i/>
          <w:color w:val="000000"/>
        </w:rPr>
        <w:t>standard</w:t>
      </w:r>
      <w:r w:rsidRPr="009A3A12">
        <w:rPr>
          <w:rFonts w:ascii="Times New Roman" w:eastAsia="Times New Roman" w:hAnsi="Times New Roman" w:cs="Times New Roman"/>
          <w:color w:val="000000"/>
        </w:rPr>
        <w:t>)</w:t>
      </w:r>
    </w:p>
    <w:p w14:paraId="39DEEA78" w14:textId="77777777" w:rsidR="00AB5D0C" w:rsidRPr="009A3A12" w:rsidRDefault="00AB5D0C" w:rsidP="00AB5D0C">
      <w:pPr>
        <w:tabs>
          <w:tab w:val="left" w:pos="6855"/>
        </w:tabs>
        <w:spacing w:after="120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color w:val="000000"/>
        </w:rPr>
        <w:t>[</w:t>
      </w:r>
      <w:r w:rsidRPr="009A3A12">
        <w:rPr>
          <w:rFonts w:ascii="Times New Roman" w:eastAsia="Times New Roman" w:hAnsi="Times New Roman" w:cs="Times New Roman"/>
          <w:i/>
          <w:color w:val="000000"/>
        </w:rPr>
        <w:t>minimal</w:t>
      </w:r>
      <w:r w:rsidRPr="009A3A12">
        <w:rPr>
          <w:rFonts w:ascii="Times New Roman" w:eastAsia="Times New Roman" w:hAnsi="Times New Roman" w:cs="Times New Roman"/>
          <w:color w:val="000000"/>
        </w:rPr>
        <w:t>] P-3 Circumnavigation with single Figure-4 (</w:t>
      </w:r>
      <w:r w:rsidRPr="009A3A12">
        <w:rPr>
          <w:rFonts w:ascii="Times New Roman" w:eastAsia="Times New Roman" w:hAnsi="Times New Roman" w:cs="Times New Roman"/>
          <w:i/>
          <w:color w:val="000000"/>
        </w:rPr>
        <w:t>standard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) </w:t>
      </w:r>
      <w:r w:rsidRPr="009A3A12">
        <w:rPr>
          <w:rFonts w:ascii="Times New Roman" w:eastAsia="Times New Roman" w:hAnsi="Times New Roman" w:cs="Times New Roman"/>
          <w:color w:val="000000"/>
        </w:rPr>
        <w:tab/>
      </w:r>
    </w:p>
    <w:p w14:paraId="37D5DA22" w14:textId="77777777" w:rsidR="00AB5D0C" w:rsidRPr="009A3A12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color w:val="000000"/>
        </w:rPr>
        <w:t xml:space="preserve">Note: The circumnavigation can be adjusted for hazard avoidance; e.g., if pattern in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downshear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 xml:space="preserve"> hemisphere is not possible, the circumnavigation can be abbreviated to the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upshear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 xml:space="preserve"> hemisphere with a pass over the center (see example below: Figure-4 in green, circumnavigation in orange, shear vector heading in black, ‘X’ is a dropsonde location):</w:t>
      </w:r>
    </w:p>
    <w:p w14:paraId="221E0A58" w14:textId="77777777" w:rsidR="00AB5D0C" w:rsidRPr="009A3A12" w:rsidRDefault="00AB5D0C" w:rsidP="00AB5D0C">
      <w:pPr>
        <w:spacing w:after="120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Arial" w:eastAsia="Arial" w:hAnsi="Arial" w:cs="Arial"/>
          <w:noProof/>
          <w:color w:val="000000"/>
        </w:rPr>
        <w:drawing>
          <wp:inline distT="0" distB="0" distL="0" distR="0" wp14:anchorId="73C87197" wp14:editId="6BBAA5D0">
            <wp:extent cx="2144233" cy="1828800"/>
            <wp:effectExtent l="0" t="0" r="0" b="0"/>
            <wp:docPr id="206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233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A3A12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7278156B" wp14:editId="03DAA9A1">
            <wp:extent cx="2149558" cy="1828800"/>
            <wp:effectExtent l="0" t="0" r="9525" b="0"/>
            <wp:docPr id="2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5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F8A16" w14:textId="77777777" w:rsidR="00AB5D0C" w:rsidRPr="009A3A12" w:rsidRDefault="00AB5D0C" w:rsidP="00AB5D0C">
      <w:pPr>
        <w:spacing w:after="120"/>
        <w:ind w:left="360"/>
        <w:jc w:val="center"/>
        <w:rPr>
          <w:rFonts w:ascii="Times New Roman" w:eastAsia="Times New Roman" w:hAnsi="Times New Roman" w:cs="Times New Roman"/>
          <w:color w:val="000000"/>
        </w:rPr>
      </w:pPr>
    </w:p>
    <w:p w14:paraId="38E17012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Flight altitude: </w:t>
      </w:r>
      <w:r w:rsidRPr="009A3A12">
        <w:rPr>
          <w:rFonts w:ascii="Times New Roman" w:eastAsia="Times New Roman" w:hAnsi="Times New Roman" w:cs="Times New Roman"/>
          <w:color w:val="000000"/>
        </w:rPr>
        <w:t>Figure-4:</w:t>
      </w: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A3A12">
        <w:rPr>
          <w:rFonts w:ascii="Times New Roman" w:eastAsia="Times New Roman" w:hAnsi="Times New Roman" w:cs="Times New Roman"/>
          <w:color w:val="000000"/>
        </w:rPr>
        <w:t>[</w:t>
      </w:r>
      <w:r w:rsidRPr="009A3A12">
        <w:rPr>
          <w:rFonts w:ascii="Times New Roman" w:eastAsia="Times New Roman" w:hAnsi="Times New Roman" w:cs="Times New Roman"/>
          <w:i/>
          <w:color w:val="000000"/>
        </w:rPr>
        <w:t>optimal</w:t>
      </w:r>
      <w:r w:rsidRPr="009A3A12">
        <w:rPr>
          <w:rFonts w:ascii="Times New Roman" w:eastAsia="Times New Roman" w:hAnsi="Times New Roman" w:cs="Times New Roman"/>
          <w:color w:val="000000"/>
        </w:rPr>
        <w:t>]</w:t>
      </w: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10–12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kft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 xml:space="preserve"> (5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kft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 xml:space="preserve"> is minimum altitude for dropsonde launches). Circumnavigation: As high as possible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optimal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] above 25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kft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 xml:space="preserve">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minimal</w:t>
      </w:r>
      <w:r w:rsidRPr="009A3A12">
        <w:rPr>
          <w:rFonts w:ascii="Times New Roman" w:eastAsia="Times New Roman" w:hAnsi="Times New Roman" w:cs="Times New Roman"/>
          <w:color w:val="000000"/>
        </w:rPr>
        <w:t>]</w:t>
      </w:r>
    </w:p>
    <w:p w14:paraId="3B95229A" w14:textId="77777777" w:rsidR="00AB5D0C" w:rsidRPr="009A3A12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Leg length or radii: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105 n mi (leg length).  Radius of circumnavigation is preferably as close to the inner-core precipitation shield as safety allows.  </w:t>
      </w:r>
    </w:p>
    <w:p w14:paraId="635D5365" w14:textId="77777777" w:rsidR="00AB5D0C" w:rsidRPr="009A3A12" w:rsidRDefault="00AB5D0C" w:rsidP="00AB5D0C">
      <w:pPr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Estimated in-pattern flight duration: </w:t>
      </w:r>
      <w:r w:rsidRPr="009A3A12">
        <w:rPr>
          <w:rFonts w:ascii="Times New Roman" w:eastAsia="Times New Roman" w:hAnsi="Times New Roman" w:cs="Times New Roman"/>
          <w:color w:val="000000"/>
        </w:rPr>
        <w:t>[</w:t>
      </w:r>
      <w:r w:rsidRPr="009A3A12">
        <w:rPr>
          <w:rFonts w:ascii="Times New Roman" w:eastAsia="Times New Roman" w:hAnsi="Times New Roman" w:cs="Times New Roman"/>
          <w:i/>
          <w:color w:val="000000"/>
        </w:rPr>
        <w:t>optimal</w:t>
      </w:r>
      <w:r w:rsidRPr="009A3A12">
        <w:rPr>
          <w:rFonts w:ascii="Times New Roman" w:eastAsia="Times New Roman" w:hAnsi="Times New Roman" w:cs="Times New Roman"/>
          <w:color w:val="000000"/>
        </w:rPr>
        <w:t>] Circumnavigation with rotated Figure-4, ~6 h; [</w:t>
      </w:r>
      <w:r w:rsidRPr="009A3A12">
        <w:rPr>
          <w:rFonts w:ascii="Times New Roman" w:eastAsia="Times New Roman" w:hAnsi="Times New Roman" w:cs="Times New Roman"/>
          <w:i/>
          <w:color w:val="000000"/>
        </w:rPr>
        <w:t>minimal</w:t>
      </w:r>
      <w:r w:rsidRPr="009A3A12">
        <w:rPr>
          <w:rFonts w:ascii="Times New Roman" w:eastAsia="Times New Roman" w:hAnsi="Times New Roman" w:cs="Times New Roman"/>
          <w:color w:val="000000"/>
        </w:rPr>
        <w:t>] Circumnavigation with single Figure-4, ~ 4 h</w:t>
      </w:r>
    </w:p>
    <w:p w14:paraId="0E5547A6" w14:textId="77777777" w:rsidR="00AB5D0C" w:rsidRPr="009A3A12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Expendable distribution: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8AA6BBD" w14:textId="77777777" w:rsidR="00AB5D0C" w:rsidRPr="009A3A12" w:rsidRDefault="00AB5D0C" w:rsidP="00AB5D0C">
      <w:pPr>
        <w:spacing w:after="120"/>
        <w:ind w:left="540" w:hanging="9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color w:val="000000"/>
        </w:rPr>
        <w:t>[</w:t>
      </w:r>
      <w:r w:rsidRPr="009A3A12">
        <w:rPr>
          <w:rFonts w:ascii="Times New Roman" w:eastAsia="Times New Roman" w:hAnsi="Times New Roman" w:cs="Times New Roman"/>
          <w:i/>
          <w:color w:val="000000"/>
        </w:rPr>
        <w:t>optimal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] Use the standard for P-3 circumnavigation (8 dropsondes), as well as for rotated Figure-4 (20 dropsondes, 28 </w:t>
      </w:r>
      <w:proofErr w:type="gramStart"/>
      <w:r w:rsidRPr="009A3A12">
        <w:rPr>
          <w:rFonts w:ascii="Times New Roman" w:eastAsia="Times New Roman" w:hAnsi="Times New Roman" w:cs="Times New Roman"/>
          <w:color w:val="000000"/>
        </w:rPr>
        <w:t>total</w:t>
      </w:r>
      <w:proofErr w:type="gramEnd"/>
      <w:r w:rsidRPr="009A3A12">
        <w:rPr>
          <w:rFonts w:ascii="Times New Roman" w:eastAsia="Times New Roman" w:hAnsi="Times New Roman" w:cs="Times New Roman"/>
          <w:color w:val="000000"/>
        </w:rPr>
        <w:t xml:space="preserve"> with circumnavigation) or single Figure-4 (10 dropsondes, 18 total with circumnavigation). AXBTs preferably paired with dropsondes at mid- and turn points and center.</w:t>
      </w:r>
    </w:p>
    <w:p w14:paraId="3CF439F5" w14:textId="77777777" w:rsidR="00AB5D0C" w:rsidRPr="009A3A12" w:rsidRDefault="00AB5D0C" w:rsidP="00AB5D0C">
      <w:pPr>
        <w:spacing w:after="120"/>
        <w:ind w:left="540" w:hanging="9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color w:val="000000"/>
        </w:rPr>
        <w:t>[</w:t>
      </w:r>
      <w:r w:rsidRPr="009A3A12">
        <w:rPr>
          <w:rFonts w:ascii="Times New Roman" w:eastAsia="Times New Roman" w:hAnsi="Times New Roman" w:cs="Times New Roman"/>
          <w:i/>
          <w:color w:val="000000"/>
        </w:rPr>
        <w:t>minimal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] Use the standard for P-3 circumnavigation (8 dropsondes), and modify standard Figure-4 by keeping only turn point drops, as well as center drops on the first and last pass (for rotated Figure-4, 10 dropsondes, 18 </w:t>
      </w:r>
      <w:proofErr w:type="gramStart"/>
      <w:r w:rsidRPr="009A3A12">
        <w:rPr>
          <w:rFonts w:ascii="Times New Roman" w:eastAsia="Times New Roman" w:hAnsi="Times New Roman" w:cs="Times New Roman"/>
          <w:color w:val="000000"/>
        </w:rPr>
        <w:t>total</w:t>
      </w:r>
      <w:proofErr w:type="gramEnd"/>
      <w:r w:rsidRPr="009A3A12">
        <w:rPr>
          <w:rFonts w:ascii="Times New Roman" w:eastAsia="Times New Roman" w:hAnsi="Times New Roman" w:cs="Times New Roman"/>
          <w:color w:val="000000"/>
        </w:rPr>
        <w:t xml:space="preserve"> with circumnavigation; for single Figure-4, 6 dropsondes, 14 total with circumnavigation). AXBTs preferably paired with dropsondes at turn points and center.</w:t>
      </w:r>
    </w:p>
    <w:p w14:paraId="00602F12" w14:textId="77777777" w:rsidR="00AB5D0C" w:rsidRDefault="00AB5D0C" w:rsidP="00AB5D0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Instrumentation Notes: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Use TDR defaults. Use straight flight legs as safety permits. Inbound-outbound passes should be uninterrupted. DWL should be downward looking, 20° off nadir.</w:t>
      </w:r>
    </w:p>
    <w:p w14:paraId="04FA6876" w14:textId="77777777" w:rsidR="00644C80" w:rsidRDefault="00AB5D0C">
      <w:bookmarkStart w:id="1" w:name="_GoBack"/>
      <w:bookmarkEnd w:id="1"/>
    </w:p>
    <w:sectPr w:rsidR="00644C80" w:rsidSect="00041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0C"/>
    <w:rsid w:val="000203E1"/>
    <w:rsid w:val="00041A73"/>
    <w:rsid w:val="007D3213"/>
    <w:rsid w:val="008921B8"/>
    <w:rsid w:val="00AB5D0C"/>
    <w:rsid w:val="00B57E33"/>
    <w:rsid w:val="00B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D81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5D0C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5212</Characters>
  <Application>Microsoft Macintosh Word</Application>
  <DocSecurity>0</DocSecurity>
  <Lines>43</Lines>
  <Paragraphs>12</Paragraphs>
  <ScaleCrop>false</ScaleCrop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2017-05-30T14:39:00Z</dcterms:created>
  <dcterms:modified xsi:type="dcterms:W3CDTF">2017-05-30T14:39:00Z</dcterms:modified>
</cp:coreProperties>
</file>