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8260E" w:rsidRDefault="00BC42E2" w:rsidP="00BC42E2">
      <w:pPr>
        <w:spacing w:line="480" w:lineRule="auto"/>
        <w:jc w:val="center"/>
        <w:rPr>
          <w:b/>
          <w:bCs/>
        </w:rPr>
      </w:pPr>
      <w:bookmarkStart w:id="0" w:name="OLE_LINK1"/>
      <w:bookmarkStart w:id="1" w:name="OLE_LINK2"/>
      <w:r>
        <w:rPr>
          <w:b/>
          <w:bCs/>
        </w:rPr>
        <w:t>Impact of Anthropogenic and Natural Climate Variability on the Intra-American Seas</w:t>
      </w:r>
    </w:p>
    <w:p w:rsidR="00BC42E2" w:rsidRDefault="00BC42E2" w:rsidP="00BC42E2">
      <w:pPr>
        <w:spacing w:line="480" w:lineRule="auto"/>
        <w:jc w:val="center"/>
        <w:rPr>
          <w:b/>
          <w:bCs/>
        </w:rPr>
      </w:pPr>
      <w:r>
        <w:rPr>
          <w:b/>
          <w:bCs/>
        </w:rPr>
        <w:t xml:space="preserve"> Part II: Variability and </w:t>
      </w:r>
      <w:r w:rsidR="002841E4">
        <w:rPr>
          <w:b/>
          <w:bCs/>
        </w:rPr>
        <w:t>c</w:t>
      </w:r>
      <w:r>
        <w:rPr>
          <w:b/>
          <w:bCs/>
        </w:rPr>
        <w:t>hange in Atlantic bluefin tuna and skipjack tuna adult and larval habitat</w:t>
      </w:r>
    </w:p>
    <w:p w:rsidR="00BC42E2" w:rsidRPr="004C7B6B" w:rsidRDefault="00BC42E2" w:rsidP="00BC42E2">
      <w:pPr>
        <w:spacing w:line="480" w:lineRule="auto"/>
        <w:jc w:val="center"/>
        <w:rPr>
          <w:b/>
          <w:bCs/>
        </w:rPr>
      </w:pPr>
      <w:r>
        <w:t xml:space="preserve">Barbara A. </w:t>
      </w:r>
      <w:r w:rsidRPr="00BC42E2">
        <w:t>Muhling</w:t>
      </w:r>
      <w:r w:rsidRPr="00BC42E2">
        <w:rPr>
          <w:vertAlign w:val="superscript"/>
        </w:rPr>
        <w:t>1,2</w:t>
      </w:r>
      <w:r>
        <w:t xml:space="preserve">, </w:t>
      </w:r>
      <w:r w:rsidRPr="00BC42E2">
        <w:t>Yanyun</w:t>
      </w:r>
      <w:r>
        <w:t xml:space="preserve"> Liu</w:t>
      </w:r>
      <w:r>
        <w:rPr>
          <w:vertAlign w:val="superscript"/>
        </w:rPr>
        <w:t>1,3</w:t>
      </w:r>
      <w:r>
        <w:t>, Sang-Ki Lee</w:t>
      </w:r>
      <w:r>
        <w:rPr>
          <w:vertAlign w:val="superscript"/>
        </w:rPr>
        <w:t>1,3</w:t>
      </w:r>
      <w:r>
        <w:t>, John T. Lamkin</w:t>
      </w:r>
      <w:r w:rsidRPr="00BC42E2">
        <w:rPr>
          <w:vertAlign w:val="superscript"/>
        </w:rPr>
        <w:t>3</w:t>
      </w:r>
      <w:r w:rsidR="004C7B6B">
        <w:t>, Mitchell A. Roffer, Frank Muller-Karger</w:t>
      </w:r>
    </w:p>
    <w:bookmarkEnd w:id="0"/>
    <w:bookmarkEnd w:id="1"/>
    <w:p w:rsidR="00DD1109" w:rsidRDefault="00DD1109"/>
    <w:p w:rsidR="00BC42E2" w:rsidRDefault="00BC42E2" w:rsidP="00BC42E2">
      <w:pPr>
        <w:spacing w:line="480" w:lineRule="auto"/>
        <w:jc w:val="center"/>
      </w:pPr>
      <w:r>
        <w:rPr>
          <w:color w:val="000000"/>
          <w:vertAlign w:val="superscript"/>
        </w:rPr>
        <w:t>1</w:t>
      </w:r>
      <w:r>
        <w:rPr>
          <w:color w:val="000000"/>
        </w:rPr>
        <w:t>Cooperative Institute for Marine and Atmospheric Studies, University of Miami, Miami FL</w:t>
      </w:r>
      <w:r w:rsidR="00AC02EB">
        <w:rPr>
          <w:color w:val="000000"/>
        </w:rPr>
        <w:t>, USA</w:t>
      </w:r>
    </w:p>
    <w:p w:rsidR="00BC42E2" w:rsidRDefault="00BC42E2" w:rsidP="00BC42E2">
      <w:pPr>
        <w:pStyle w:val="WW-BodyText2"/>
        <w:spacing w:line="480" w:lineRule="auto"/>
        <w:jc w:val="center"/>
        <w:rPr>
          <w:bCs/>
          <w:color w:val="000000"/>
          <w:szCs w:val="24"/>
        </w:rPr>
      </w:pPr>
      <w:r>
        <w:rPr>
          <w:bCs/>
          <w:color w:val="000000"/>
          <w:szCs w:val="24"/>
          <w:vertAlign w:val="superscript"/>
        </w:rPr>
        <w:t>2</w:t>
      </w:r>
      <w:r>
        <w:rPr>
          <w:bCs/>
          <w:color w:val="000000"/>
          <w:szCs w:val="24"/>
        </w:rPr>
        <w:t>Southeast Fisheries Science Center, NOAA, Miami, Florida, USA</w:t>
      </w:r>
    </w:p>
    <w:p w:rsidR="00BC42E2" w:rsidRDefault="00BC42E2" w:rsidP="00BC42E2">
      <w:pPr>
        <w:spacing w:line="480" w:lineRule="auto"/>
        <w:jc w:val="center"/>
        <w:rPr>
          <w:color w:val="000000"/>
        </w:rPr>
      </w:pPr>
      <w:r>
        <w:rPr>
          <w:color w:val="000000"/>
          <w:vertAlign w:val="superscript"/>
        </w:rPr>
        <w:t>3</w:t>
      </w:r>
      <w:r>
        <w:rPr>
          <w:color w:val="000000"/>
        </w:rPr>
        <w:t>Atlantic Oceanographic and Meteorological Laboratory, NOAA, Miami FL</w:t>
      </w:r>
      <w:r w:rsidR="00AC02EB">
        <w:rPr>
          <w:color w:val="000000"/>
        </w:rPr>
        <w:t>, USA</w:t>
      </w:r>
    </w:p>
    <w:p w:rsidR="004C7B6B" w:rsidRDefault="004C7B6B" w:rsidP="00BC42E2">
      <w:pPr>
        <w:spacing w:line="480" w:lineRule="auto"/>
        <w:jc w:val="center"/>
        <w:rPr>
          <w:color w:val="000000"/>
        </w:rPr>
      </w:pPr>
      <w:r w:rsidRPr="004C7B6B">
        <w:rPr>
          <w:color w:val="000000"/>
          <w:vertAlign w:val="superscript"/>
        </w:rPr>
        <w:t>4</w:t>
      </w:r>
      <w:r>
        <w:rPr>
          <w:color w:val="000000"/>
        </w:rPr>
        <w:t>: Roffers Ocean Fishing Forecasting Service</w:t>
      </w:r>
      <w:r w:rsidR="00AC02EB">
        <w:rPr>
          <w:color w:val="000000"/>
        </w:rPr>
        <w:t>, Melbourne, Florida, USA</w:t>
      </w:r>
    </w:p>
    <w:p w:rsidR="004C7B6B" w:rsidRDefault="004C7B6B" w:rsidP="00BC42E2">
      <w:pPr>
        <w:spacing w:line="480" w:lineRule="auto"/>
        <w:jc w:val="center"/>
        <w:rPr>
          <w:color w:val="000000"/>
        </w:rPr>
      </w:pPr>
      <w:r w:rsidRPr="004C7B6B">
        <w:rPr>
          <w:color w:val="000000"/>
          <w:vertAlign w:val="superscript"/>
        </w:rPr>
        <w:t>5</w:t>
      </w:r>
      <w:r>
        <w:rPr>
          <w:color w:val="000000"/>
        </w:rPr>
        <w:t xml:space="preserve">: </w:t>
      </w:r>
      <w:r w:rsidR="00AC02EB">
        <w:rPr>
          <w:color w:val="000000"/>
        </w:rPr>
        <w:t xml:space="preserve">College of Marine Science, </w:t>
      </w:r>
      <w:r>
        <w:rPr>
          <w:color w:val="000000"/>
        </w:rPr>
        <w:t>University of South Florida</w:t>
      </w:r>
      <w:r w:rsidR="00AC02EB">
        <w:rPr>
          <w:color w:val="000000"/>
        </w:rPr>
        <w:t>, St Petersburg, Florida, USA</w:t>
      </w:r>
    </w:p>
    <w:p w:rsidR="00134A4E" w:rsidRDefault="00134A4E" w:rsidP="00BC42E2">
      <w:pPr>
        <w:spacing w:line="480" w:lineRule="auto"/>
        <w:jc w:val="center"/>
        <w:rPr>
          <w:color w:val="000000"/>
        </w:rPr>
      </w:pPr>
    </w:p>
    <w:p w:rsidR="007A0433" w:rsidRDefault="007A0433" w:rsidP="00BC42E2">
      <w:pPr>
        <w:spacing w:line="480" w:lineRule="auto"/>
        <w:jc w:val="both"/>
        <w:rPr>
          <w:color w:val="000000"/>
        </w:rPr>
      </w:pPr>
    </w:p>
    <w:p w:rsidR="001413D7" w:rsidRDefault="001413D7" w:rsidP="00BC42E2">
      <w:pPr>
        <w:spacing w:line="480" w:lineRule="auto"/>
        <w:jc w:val="both"/>
        <w:rPr>
          <w:color w:val="000000"/>
        </w:rPr>
      </w:pPr>
    </w:p>
    <w:p w:rsidR="001413D7" w:rsidRDefault="001413D7" w:rsidP="00BC42E2">
      <w:pPr>
        <w:spacing w:line="480" w:lineRule="auto"/>
        <w:jc w:val="both"/>
        <w:rPr>
          <w:color w:val="000000"/>
        </w:rPr>
      </w:pPr>
    </w:p>
    <w:p w:rsidR="001413D7" w:rsidRDefault="001413D7" w:rsidP="00BC42E2">
      <w:pPr>
        <w:spacing w:line="480" w:lineRule="auto"/>
        <w:jc w:val="both"/>
        <w:rPr>
          <w:color w:val="000000"/>
        </w:rPr>
      </w:pPr>
    </w:p>
    <w:p w:rsidR="001413D7" w:rsidRDefault="001413D7" w:rsidP="00BC42E2">
      <w:pPr>
        <w:spacing w:line="480" w:lineRule="auto"/>
        <w:jc w:val="both"/>
        <w:rPr>
          <w:color w:val="000000"/>
        </w:rPr>
      </w:pPr>
    </w:p>
    <w:p w:rsidR="001413D7" w:rsidRDefault="001413D7" w:rsidP="00BC42E2">
      <w:pPr>
        <w:spacing w:line="480" w:lineRule="auto"/>
        <w:jc w:val="both"/>
        <w:rPr>
          <w:color w:val="000000"/>
        </w:rPr>
      </w:pPr>
    </w:p>
    <w:p w:rsidR="00BC42E2" w:rsidRDefault="00BC42E2" w:rsidP="00BC42E2">
      <w:pPr>
        <w:spacing w:line="480" w:lineRule="auto"/>
        <w:jc w:val="both"/>
        <w:rPr>
          <w:color w:val="000000"/>
        </w:rPr>
      </w:pPr>
    </w:p>
    <w:p w:rsidR="00BC42E2" w:rsidRDefault="00BC42E2" w:rsidP="00BC42E2">
      <w:pPr>
        <w:pStyle w:val="WW-BodyText2"/>
        <w:spacing w:line="480" w:lineRule="auto"/>
        <w:rPr>
          <w:color w:val="000000"/>
          <w:szCs w:val="24"/>
        </w:rPr>
      </w:pPr>
    </w:p>
    <w:p w:rsidR="00BC42E2" w:rsidRDefault="00BC42E2" w:rsidP="00BC42E2">
      <w:pPr>
        <w:pStyle w:val="WW-BodyText2"/>
        <w:spacing w:line="480" w:lineRule="auto"/>
        <w:rPr>
          <w:color w:val="000000"/>
          <w:szCs w:val="24"/>
        </w:rPr>
      </w:pPr>
      <w:r>
        <w:rPr>
          <w:color w:val="000000"/>
          <w:szCs w:val="24"/>
        </w:rPr>
        <w:t xml:space="preserve">Corresponding author address: Barbara Muhling, NOAA/SEFSC, 75 Virginia Beach Drive, Miami, FL 33149, USA.  </w:t>
      </w:r>
      <w:r w:rsidR="00BE5569">
        <w:rPr>
          <w:color w:val="000000"/>
          <w:szCs w:val="24"/>
        </w:rPr>
        <w:t xml:space="preserve">Phone: 1-305-361-4289. </w:t>
      </w:r>
      <w:r>
        <w:rPr>
          <w:color w:val="000000"/>
          <w:szCs w:val="24"/>
        </w:rPr>
        <w:t xml:space="preserve">E-mail: </w:t>
      </w:r>
      <w:hyperlink r:id="rId7" w:history="1">
        <w:r w:rsidRPr="00053D50">
          <w:rPr>
            <w:rStyle w:val="Hyperlink"/>
            <w:szCs w:val="24"/>
          </w:rPr>
          <w:t>Barbara.Muhling@noaa.gov</w:t>
        </w:r>
      </w:hyperlink>
    </w:p>
    <w:p w:rsidR="00BC42E2" w:rsidRDefault="00BC42E2">
      <w:pPr>
        <w:spacing w:after="200" w:line="276" w:lineRule="auto"/>
      </w:pPr>
      <w:r>
        <w:br w:type="page"/>
      </w:r>
    </w:p>
    <w:p w:rsidR="00134A4E" w:rsidRDefault="00134A4E">
      <w:pPr>
        <w:rPr>
          <w:b/>
        </w:rPr>
        <w:sectPr w:rsidR="00134A4E">
          <w:footerReference w:type="default" r:id="rId8"/>
          <w:pgSz w:w="12240" w:h="15840"/>
          <w:pgMar w:top="1440" w:right="1440" w:bottom="1440" w:left="1440" w:header="720" w:footer="720" w:gutter="0"/>
          <w:cols w:space="720"/>
          <w:docGrid w:linePitch="360"/>
        </w:sectPr>
      </w:pPr>
    </w:p>
    <w:p w:rsidR="00BC42E2" w:rsidRPr="00BC42E2" w:rsidRDefault="00BC42E2">
      <w:pPr>
        <w:rPr>
          <w:b/>
        </w:rPr>
      </w:pPr>
      <w:r w:rsidRPr="00BC42E2">
        <w:rPr>
          <w:b/>
        </w:rPr>
        <w:lastRenderedPageBreak/>
        <w:t>Abstract</w:t>
      </w:r>
    </w:p>
    <w:p w:rsidR="00BC42E2" w:rsidRDefault="00BC42E2"/>
    <w:p w:rsidR="00DF56F5" w:rsidRDefault="00DF56F5" w:rsidP="007D441F">
      <w:pPr>
        <w:spacing w:line="480" w:lineRule="auto"/>
      </w:pPr>
      <w:r>
        <w:t>Increasing water temperatures due to climate change are likely to have significant impacts on the distributions and life histories of Atlantic tunas. In this study, we combined predictive boosted regression tree habitat models and a downscaled climate model to examine potential impacts on adult</w:t>
      </w:r>
      <w:r w:rsidR="009F5CE9">
        <w:t>s</w:t>
      </w:r>
      <w:r>
        <w:t xml:space="preserve"> and larvae of Atlantic bluefin tuna (</w:t>
      </w:r>
      <w:r w:rsidRPr="00DF56F5">
        <w:rPr>
          <w:i/>
        </w:rPr>
        <w:t>Thunnus thynnus</w:t>
      </w:r>
      <w:r>
        <w:t>) and skipjack tuna (</w:t>
      </w:r>
      <w:r w:rsidRPr="00DF56F5">
        <w:rPr>
          <w:i/>
        </w:rPr>
        <w:t>Katsuwonus pelamis</w:t>
      </w:r>
      <w:r>
        <w:t>) in the Intra American Seas</w:t>
      </w:r>
      <w:r w:rsidR="009F5CE9">
        <w:t xml:space="preserve"> (IAS)</w:t>
      </w:r>
      <w:r>
        <w:t>. An additional downscaled model covering the 20</w:t>
      </w:r>
      <w:r w:rsidRPr="00DF56F5">
        <w:rPr>
          <w:vertAlign w:val="superscript"/>
        </w:rPr>
        <w:t>th</w:t>
      </w:r>
      <w:r>
        <w:t xml:space="preserve"> century was used to compare habitat fluctuations from natural variability to predicted future changes under two climate change scenarios: </w:t>
      </w:r>
      <w:r w:rsidRPr="00006999">
        <w:rPr>
          <w:color w:val="000000"/>
        </w:rPr>
        <w:t>RCP</w:t>
      </w:r>
      <w:r>
        <w:rPr>
          <w:color w:val="000000"/>
        </w:rPr>
        <w:t xml:space="preserve"> </w:t>
      </w:r>
      <w:r w:rsidRPr="00006999">
        <w:rPr>
          <w:color w:val="000000"/>
        </w:rPr>
        <w:t xml:space="preserve">4.5 </w:t>
      </w:r>
      <w:r>
        <w:rPr>
          <w:color w:val="000000"/>
        </w:rPr>
        <w:t xml:space="preserve">(medium-low) </w:t>
      </w:r>
      <w:r w:rsidRPr="00006999">
        <w:rPr>
          <w:color w:val="000000"/>
        </w:rPr>
        <w:t>and RCP</w:t>
      </w:r>
      <w:r>
        <w:rPr>
          <w:color w:val="000000"/>
        </w:rPr>
        <w:t xml:space="preserve"> </w:t>
      </w:r>
      <w:r w:rsidRPr="00006999">
        <w:rPr>
          <w:color w:val="000000"/>
        </w:rPr>
        <w:t>8.5</w:t>
      </w:r>
      <w:r>
        <w:rPr>
          <w:color w:val="000000"/>
        </w:rPr>
        <w:t xml:space="preserve"> (high). Results showed marked temperature-induced habitat loss</w:t>
      </w:r>
      <w:r w:rsidR="009F5CE9">
        <w:rPr>
          <w:color w:val="000000"/>
        </w:rPr>
        <w:t>es for</w:t>
      </w:r>
      <w:r>
        <w:rPr>
          <w:color w:val="000000"/>
        </w:rPr>
        <w:t xml:space="preserve"> both adult and larval bluefin tuna on their northern Gulf of Mexico spawning grounds. In contrast, habitat suitability for skipjack tuna tended to increase as temperatures warmed. Model </w:t>
      </w:r>
      <w:r w:rsidR="007D441F">
        <w:rPr>
          <w:color w:val="000000"/>
        </w:rPr>
        <w:t>error</w:t>
      </w:r>
      <w:r>
        <w:rPr>
          <w:color w:val="000000"/>
        </w:rPr>
        <w:t xml:space="preserve"> was highest for the two skipjack tuna models, particularly at high</w:t>
      </w:r>
      <w:r w:rsidR="009F5CE9">
        <w:rPr>
          <w:color w:val="000000"/>
        </w:rPr>
        <w:t>er</w:t>
      </w:r>
      <w:r>
        <w:rPr>
          <w:color w:val="000000"/>
        </w:rPr>
        <w:t xml:space="preserve"> temperatures. </w:t>
      </w:r>
      <w:r w:rsidR="004D77C8">
        <w:rPr>
          <w:color w:val="000000"/>
        </w:rPr>
        <w:t>This work suggests that climate change impacts on highly migratory Atlantic tuna species are likely to be substantial, but strongly species-specific. However, f</w:t>
      </w:r>
      <w:r w:rsidR="007D441F">
        <w:rPr>
          <w:color w:val="000000"/>
        </w:rPr>
        <w:t>urther research is required to determin</w:t>
      </w:r>
      <w:r w:rsidR="004D77C8">
        <w:rPr>
          <w:color w:val="000000"/>
        </w:rPr>
        <w:t>e</w:t>
      </w:r>
      <w:r w:rsidR="007D441F">
        <w:rPr>
          <w:color w:val="000000"/>
        </w:rPr>
        <w:t xml:space="preserve"> complex links between water temperature</w:t>
      </w:r>
      <w:r w:rsidR="009F5CE9">
        <w:rPr>
          <w:color w:val="000000"/>
        </w:rPr>
        <w:t>,</w:t>
      </w:r>
      <w:r w:rsidR="007D441F">
        <w:rPr>
          <w:color w:val="000000"/>
        </w:rPr>
        <w:t xml:space="preserve"> tuna physiology and </w:t>
      </w:r>
      <w:r w:rsidR="009F5CE9">
        <w:rPr>
          <w:color w:val="000000"/>
        </w:rPr>
        <w:t xml:space="preserve">fish </w:t>
      </w:r>
      <w:r w:rsidR="007D441F">
        <w:rPr>
          <w:color w:val="000000"/>
        </w:rPr>
        <w:t xml:space="preserve">behavior.  </w:t>
      </w:r>
      <w:r>
        <w:t xml:space="preserve">  </w:t>
      </w:r>
    </w:p>
    <w:p w:rsidR="00393D0F" w:rsidRDefault="00393D0F" w:rsidP="007D441F">
      <w:pPr>
        <w:spacing w:line="480" w:lineRule="auto"/>
      </w:pPr>
    </w:p>
    <w:p w:rsidR="00393D0F" w:rsidRDefault="00393D0F" w:rsidP="007D441F">
      <w:pPr>
        <w:spacing w:line="480" w:lineRule="auto"/>
      </w:pPr>
      <w:r>
        <w:t>Keywords: Atlantic bluefin tuna, skipjack tuna, climate change</w:t>
      </w:r>
      <w:r w:rsidR="00F560C4">
        <w:t>s</w:t>
      </w:r>
      <w:r>
        <w:t xml:space="preserve">, habitat, </w:t>
      </w:r>
      <w:r w:rsidR="00F560C4">
        <w:t xml:space="preserve">tuna fisheries, niches </w:t>
      </w:r>
    </w:p>
    <w:p w:rsidR="00BC42E2" w:rsidRDefault="00BC42E2">
      <w:pPr>
        <w:spacing w:after="200" w:line="276" w:lineRule="auto"/>
      </w:pPr>
      <w:r>
        <w:br w:type="page"/>
      </w:r>
    </w:p>
    <w:p w:rsidR="00BC42E2" w:rsidRPr="00AC771E" w:rsidRDefault="00BC42E2" w:rsidP="00AC771E">
      <w:pPr>
        <w:pStyle w:val="ListParagraph"/>
        <w:numPr>
          <w:ilvl w:val="0"/>
          <w:numId w:val="6"/>
        </w:numPr>
        <w:ind w:left="0" w:firstLine="0"/>
        <w:rPr>
          <w:b/>
        </w:rPr>
      </w:pPr>
      <w:r w:rsidRPr="00AC771E">
        <w:rPr>
          <w:b/>
        </w:rPr>
        <w:lastRenderedPageBreak/>
        <w:t>Introduction</w:t>
      </w:r>
    </w:p>
    <w:p w:rsidR="00F118CF" w:rsidRDefault="00F118CF" w:rsidP="00BC42E2">
      <w:pPr>
        <w:rPr>
          <w:b/>
        </w:rPr>
      </w:pPr>
    </w:p>
    <w:p w:rsidR="00790D67" w:rsidRDefault="00790D67" w:rsidP="00790D67">
      <w:pPr>
        <w:autoSpaceDE w:val="0"/>
        <w:autoSpaceDN w:val="0"/>
        <w:adjustRightInd w:val="0"/>
        <w:spacing w:line="480" w:lineRule="auto"/>
        <w:jc w:val="both"/>
      </w:pPr>
      <w:r>
        <w:t>Upper ocean temperatures have increased markedly in many regions of the world in recent decades (</w:t>
      </w:r>
      <w:r w:rsidR="005B242B" w:rsidRPr="005B242B">
        <w:t>Hansen et al., 2006</w:t>
      </w:r>
      <w:r w:rsidR="005B242B" w:rsidRPr="009468AC">
        <w:t xml:space="preserve">; </w:t>
      </w:r>
      <w:r w:rsidR="009468AC" w:rsidRPr="009468AC">
        <w:t>Rhein et al., 2013</w:t>
      </w:r>
      <w:r>
        <w:t>)</w:t>
      </w:r>
      <w:r w:rsidR="007B44D2">
        <w:t>, and</w:t>
      </w:r>
      <w:r>
        <w:t xml:space="preserve"> </w:t>
      </w:r>
      <w:r w:rsidR="007B44D2">
        <w:t>e</w:t>
      </w:r>
      <w:r>
        <w:t xml:space="preserve">vidence of </w:t>
      </w:r>
      <w:r w:rsidRPr="00790D67">
        <w:t xml:space="preserve">associated shifts in </w:t>
      </w:r>
      <w:r w:rsidR="007B44D2">
        <w:t xml:space="preserve">the </w:t>
      </w:r>
      <w:r w:rsidRPr="00790D67">
        <w:t xml:space="preserve">distributions of marine populations </w:t>
      </w:r>
      <w:r>
        <w:t>continues to accumulate</w:t>
      </w:r>
      <w:r w:rsidRPr="00790D67">
        <w:t xml:space="preserve"> (Nye et al., 2009; Pinsky and Fogarty, 2012). Temperature-sensitive organisms may </w:t>
      </w:r>
      <w:r w:rsidR="007B44D2">
        <w:t xml:space="preserve">respond by </w:t>
      </w:r>
      <w:r w:rsidRPr="00790D67">
        <w:t>mov</w:t>
      </w:r>
      <w:r w:rsidR="007B44D2">
        <w:t>ing</w:t>
      </w:r>
      <w:r w:rsidRPr="00790D67">
        <w:t xml:space="preserve"> poleward, to deeper waters, or </w:t>
      </w:r>
      <w:r w:rsidR="007B44D2">
        <w:t xml:space="preserve">they </w:t>
      </w:r>
      <w:r w:rsidRPr="00790D67">
        <w:t xml:space="preserve">may </w:t>
      </w:r>
      <w:r w:rsidR="007B44D2">
        <w:t>become locally extinct from</w:t>
      </w:r>
      <w:r w:rsidRPr="00790D67">
        <w:t xml:space="preserve"> key habitats altogether in response to warming conditions (Perry et al., 2005; Dulvy et al., 2008; Fodrie et al., 2010). The life history</w:t>
      </w:r>
      <w:r w:rsidR="007B44D2">
        <w:t xml:space="preserve"> requirements</w:t>
      </w:r>
      <w:r w:rsidRPr="00790D67">
        <w:t xml:space="preserve">, migratory behavior and motility of each species </w:t>
      </w:r>
      <w:r w:rsidR="007B44D2">
        <w:t>will affect</w:t>
      </w:r>
      <w:r w:rsidRPr="00790D67">
        <w:t xml:space="preserve"> its ability to adapt to a changing environment, or to relocate to more favorable habitats (Sharp, 1978). While organisms with broad physical tolerances may be able to withstand warming temperatures with a minimum of adaptive behavior, those already existing close to their physical limits </w:t>
      </w:r>
      <w:r w:rsidR="007B44D2">
        <w:t>are more likely to</w:t>
      </w:r>
      <w:r w:rsidRPr="00790D67">
        <w:t xml:space="preserve"> be </w:t>
      </w:r>
      <w:r w:rsidR="007B44D2">
        <w:t>significantly</w:t>
      </w:r>
      <w:r w:rsidRPr="00790D67">
        <w:t xml:space="preserve"> affected (Dulvy et al., 2008; Rijnsdrop et al., 2009).</w:t>
      </w:r>
    </w:p>
    <w:p w:rsidR="00790D67" w:rsidRDefault="00790D67" w:rsidP="00790D67">
      <w:pPr>
        <w:autoSpaceDE w:val="0"/>
        <w:autoSpaceDN w:val="0"/>
        <w:adjustRightInd w:val="0"/>
        <w:spacing w:line="480" w:lineRule="auto"/>
        <w:jc w:val="both"/>
      </w:pPr>
    </w:p>
    <w:p w:rsidR="00790D67" w:rsidRDefault="00790D67" w:rsidP="00790D67">
      <w:pPr>
        <w:autoSpaceDE w:val="0"/>
        <w:autoSpaceDN w:val="0"/>
        <w:adjustRightInd w:val="0"/>
        <w:spacing w:line="480" w:lineRule="auto"/>
        <w:jc w:val="both"/>
      </w:pPr>
      <w:r w:rsidRPr="00790D67">
        <w:t xml:space="preserve">In addition to changes in spatial distributions, climate change may </w:t>
      </w:r>
      <w:r w:rsidR="007B44D2">
        <w:t>influence</w:t>
      </w:r>
      <w:r w:rsidRPr="00790D67">
        <w:t xml:space="preserve"> marine </w:t>
      </w:r>
      <w:r w:rsidR="007B44D2">
        <w:t>species</w:t>
      </w:r>
      <w:r w:rsidRPr="00790D67">
        <w:t xml:space="preserve"> through loss</w:t>
      </w:r>
      <w:r w:rsidR="007B44D2">
        <w:t xml:space="preserve"> or degradation</w:t>
      </w:r>
      <w:r w:rsidRPr="00790D67">
        <w:t xml:space="preserve"> of habitat, </w:t>
      </w:r>
      <w:r w:rsidR="007B44D2">
        <w:t xml:space="preserve">altered rates of </w:t>
      </w:r>
      <w:r w:rsidRPr="00790D67">
        <w:t xml:space="preserve">larval </w:t>
      </w:r>
      <w:r w:rsidR="007B44D2">
        <w:t>survival and recruitment potential</w:t>
      </w:r>
      <w:r w:rsidRPr="00790D67">
        <w:t xml:space="preserve">, </w:t>
      </w:r>
      <w:r w:rsidR="007B44D2">
        <w:t xml:space="preserve">and subsequent impacts </w:t>
      </w:r>
      <w:r w:rsidR="005D04F2">
        <w:t>on</w:t>
      </w:r>
      <w:r w:rsidRPr="00790D67">
        <w:t xml:space="preserve"> stock resilience, as a result of physiological and behavioral responses to environmental gradients (Scavia et al., 2002; Perry et al., 2005).</w:t>
      </w:r>
      <w:r w:rsidR="00CD1065">
        <w:t xml:space="preserve"> Where species are exploited and/or managed, climate change will introduce additional complexities.</w:t>
      </w:r>
      <w:r w:rsidR="001442D9">
        <w:t xml:space="preserve"> </w:t>
      </w:r>
      <w:r w:rsidRPr="00790D67">
        <w:t xml:space="preserve">Although the potential role of environmental variability in stock resilience is being increasingly recognized (Jacobson and MacCall, 1995; Punt and Hilborn, 1997; Daskalov, 1999), most fisheries are still largely managed under the assumption that long-term ocean climate characteristics are stationary, and that ecosystem parameters are not changing directionally through time. While </w:t>
      </w:r>
      <w:r w:rsidR="005D04F2">
        <w:t>contemporary</w:t>
      </w:r>
      <w:r w:rsidRPr="00790D67">
        <w:t xml:space="preserve"> </w:t>
      </w:r>
      <w:r w:rsidRPr="00790D67">
        <w:lastRenderedPageBreak/>
        <w:t>stock assessment models are essential tools for fisheries management, it is largely unknown how these models and metrics will perform under a changing climate.</w:t>
      </w:r>
    </w:p>
    <w:p w:rsidR="004D0C76" w:rsidRDefault="004D0C76" w:rsidP="004D0C76">
      <w:pPr>
        <w:autoSpaceDE w:val="0"/>
        <w:autoSpaceDN w:val="0"/>
        <w:adjustRightInd w:val="0"/>
        <w:spacing w:line="480" w:lineRule="auto"/>
        <w:ind w:firstLine="360"/>
        <w:jc w:val="both"/>
      </w:pPr>
    </w:p>
    <w:p w:rsidR="001442D9" w:rsidRDefault="001442D9" w:rsidP="004D0C76">
      <w:pPr>
        <w:autoSpaceDE w:val="0"/>
        <w:autoSpaceDN w:val="0"/>
        <w:adjustRightInd w:val="0"/>
        <w:spacing w:line="480" w:lineRule="auto"/>
        <w:ind w:firstLine="360"/>
        <w:jc w:val="both"/>
      </w:pPr>
      <w:r>
        <w:t>The Intra-American Seas (IAS) comprises the semi-enclosed Caribbean Sea (CBN) and Gulf of Mexico (GoM) in the western Atlantic Ocean.</w:t>
      </w:r>
      <w:r w:rsidR="006265E3">
        <w:t xml:space="preserve"> In recent years, </w:t>
      </w:r>
      <w:r w:rsidR="00284B70">
        <w:t xml:space="preserve">climatological </w:t>
      </w:r>
      <w:r w:rsidR="006265E3">
        <w:t xml:space="preserve">summer surface temperatures in the region, particularly the GoM, have been among the warmest </w:t>
      </w:r>
      <w:r w:rsidR="00284B70">
        <w:t xml:space="preserve">recorded </w:t>
      </w:r>
      <w:r w:rsidR="006265E3">
        <w:t>globally (Fig. 1).</w:t>
      </w:r>
      <w:r>
        <w:t xml:space="preserve"> </w:t>
      </w:r>
      <w:r w:rsidR="009468AC">
        <w:t xml:space="preserve">Continued warming in this geographical area may therefore test thermal tolerances of resident species beyond currently observed limits worldwide. In addition, </w:t>
      </w:r>
      <w:r w:rsidR="0025080F">
        <w:t>the position of the northern GoM coast</w:t>
      </w:r>
      <w:r w:rsidR="009468AC">
        <w:t xml:space="preserve"> results in a limit to poleward expansion. The ability of </w:t>
      </w:r>
      <w:r w:rsidR="009468AC" w:rsidRPr="00790D67">
        <w:t xml:space="preserve">species to avoid unfavorably warm water temperatures through northern displacement is therefore </w:t>
      </w:r>
      <w:r w:rsidR="009468AC">
        <w:t xml:space="preserve">potentially </w:t>
      </w:r>
      <w:r w:rsidR="009468AC" w:rsidRPr="00790D67">
        <w:t>restricted.</w:t>
      </w:r>
    </w:p>
    <w:p w:rsidR="009468AC" w:rsidRDefault="009468AC" w:rsidP="004D0C76">
      <w:pPr>
        <w:autoSpaceDE w:val="0"/>
        <w:autoSpaceDN w:val="0"/>
        <w:adjustRightInd w:val="0"/>
        <w:spacing w:line="480" w:lineRule="auto"/>
        <w:ind w:firstLine="360"/>
        <w:jc w:val="both"/>
      </w:pPr>
    </w:p>
    <w:p w:rsidR="004D0C76" w:rsidRDefault="004D0C76" w:rsidP="004D0C76">
      <w:pPr>
        <w:autoSpaceDE w:val="0"/>
        <w:autoSpaceDN w:val="0"/>
        <w:adjustRightInd w:val="0"/>
        <w:spacing w:line="480" w:lineRule="auto"/>
        <w:ind w:firstLine="360"/>
        <w:jc w:val="both"/>
      </w:pPr>
      <w:r>
        <w:t xml:space="preserve"> The impact of unusually warm years </w:t>
      </w:r>
      <w:r w:rsidR="008A79F0">
        <w:t xml:space="preserve">in the IAS </w:t>
      </w:r>
      <w:r>
        <w:t>in the form of extensive coral bleaching has been well documented in the past several decades (</w:t>
      </w:r>
      <w:r>
        <w:rPr>
          <w:rFonts w:eastAsia="SimSun"/>
          <w:color w:val="000000"/>
          <w:lang w:eastAsia="zh-CN"/>
        </w:rPr>
        <w:t>Hoegh-Guldberg et al. 2007, Baker et al. 2008</w:t>
      </w:r>
      <w:r>
        <w:t xml:space="preserve">). Ongoing warming throughout the region as a result of </w:t>
      </w:r>
      <w:r w:rsidR="009468AC">
        <w:t>climate change</w:t>
      </w:r>
      <w:r>
        <w:t xml:space="preserve"> will almost certainly result in continued loss of coral habitat, with consequent impacts on resident marine fish species. However, the IAS is also essential habitat for a number of highly migratory fish species, particularly tunas and billfishes (Schaefer, 200</w:t>
      </w:r>
      <w:r w:rsidR="00826BD9">
        <w:t>1</w:t>
      </w:r>
      <w:r>
        <w:t xml:space="preserve">). Water temperature is of high physiological importance to these animals, as it impacts their cardiac function (Blank et al., 2004), swimming abilities (Dizon et al., 1977), spawning activity (Medina et al., 2002), egg hatching (Miyashita et al., 2000; Wexler et al, 2011) and larval growth (Wexler et al., 2011; Garcia et al., 2013). However, tolerances among species vary widely. Tropical forms such as skipjack tuna (SKJ: </w:t>
      </w:r>
      <w:r w:rsidRPr="004861EC">
        <w:rPr>
          <w:i/>
        </w:rPr>
        <w:t>Katsuwonus pelamis</w:t>
      </w:r>
      <w:r>
        <w:t xml:space="preserve">) and yellowfin tuna (YFT: </w:t>
      </w:r>
      <w:r w:rsidRPr="004861EC">
        <w:rPr>
          <w:i/>
        </w:rPr>
        <w:t>Thunnus albacares</w:t>
      </w:r>
      <w:r>
        <w:t xml:space="preserve">) are </w:t>
      </w:r>
      <w:r>
        <w:lastRenderedPageBreak/>
        <w:t xml:space="preserve">found in waters of up to 30-32°C, and prefer ambient temperatures of &gt;16°C (Boyce et al., 2008). Conversely, the temperate Atlantic bluefin tuna (BFT: </w:t>
      </w:r>
      <w:r w:rsidRPr="004861EC">
        <w:rPr>
          <w:i/>
        </w:rPr>
        <w:t>Thunnus thynnus</w:t>
      </w:r>
      <w:r>
        <w:t xml:space="preserve">) feed extensively in waters of &lt;10°C, and </w:t>
      </w:r>
      <w:r w:rsidR="00B81739">
        <w:t xml:space="preserve">are likely to </w:t>
      </w:r>
      <w:r w:rsidR="00076794">
        <w:t>be</w:t>
      </w:r>
      <w:r>
        <w:t xml:space="preserve"> physiologically stressed by temperatures &gt;28-29°C (Boyce et al., 2008; Block et al., 2005; Blank et al., 2004). </w:t>
      </w:r>
    </w:p>
    <w:p w:rsidR="004D0C76" w:rsidRDefault="004D0C76" w:rsidP="004D0C76">
      <w:pPr>
        <w:autoSpaceDE w:val="0"/>
        <w:autoSpaceDN w:val="0"/>
        <w:adjustRightInd w:val="0"/>
        <w:spacing w:line="480" w:lineRule="auto"/>
        <w:ind w:firstLine="360"/>
        <w:jc w:val="both"/>
      </w:pPr>
      <w:r>
        <w:t>Despite these differences, spawning activity has been reported for all Atlantic tunas within at least some portion of the IAS (Ueyanagi, 1971; Richards et al., 1993; Espinosa-Fuentes &amp; Flores-Coto, 2004; Muhling et al., 2010; Lindo-Atichati et al., 2012). While some species such as SKJ spawn over large areas throughout much of the year (Nishikawa, 1978), others show much more spatiotemporally restricted spawning. BFT is the most extreme example, spawning only in the GoM and immediate surrounds from April to June (Muhling et al., 2013; Knapp et al., 2014).</w:t>
      </w:r>
    </w:p>
    <w:p w:rsidR="004D0C76" w:rsidRDefault="004D0C76" w:rsidP="004D0C76">
      <w:pPr>
        <w:autoSpaceDE w:val="0"/>
        <w:autoSpaceDN w:val="0"/>
        <w:adjustRightInd w:val="0"/>
        <w:spacing w:line="480" w:lineRule="auto"/>
        <w:ind w:firstLine="360"/>
        <w:jc w:val="both"/>
      </w:pPr>
      <w:r>
        <w:t xml:space="preserve">Increasing water temperatures under </w:t>
      </w:r>
      <w:r w:rsidR="001500C3">
        <w:t>climate change</w:t>
      </w:r>
      <w:r>
        <w:t xml:space="preserve"> are therefore </w:t>
      </w:r>
      <w:r w:rsidR="004C1049">
        <w:t xml:space="preserve">highly </w:t>
      </w:r>
      <w:r>
        <w:t xml:space="preserve">likely to impact migration, spawning, larval survival and recruitment of tuna populations in the IAS. Different species may show different responses and vulnerabilities, depending on their physiology and life history. When a simple habitat model for occurrence of larval BFT was previously applied to an IPCC-AR4 climate model </w:t>
      </w:r>
      <w:r w:rsidR="00F6175F">
        <w:t>projection</w:t>
      </w:r>
      <w:r>
        <w:t xml:space="preserve">, results suggested </w:t>
      </w:r>
      <w:r w:rsidR="00F6175F">
        <w:t>almost complete loss of</w:t>
      </w:r>
      <w:r>
        <w:t xml:space="preserve"> spring spawning habitat </w:t>
      </w:r>
      <w:r w:rsidR="00F6175F">
        <w:t>in the late 21</w:t>
      </w:r>
      <w:r w:rsidR="00F6175F" w:rsidRPr="00F6175F">
        <w:rPr>
          <w:vertAlign w:val="superscript"/>
        </w:rPr>
        <w:t>st</w:t>
      </w:r>
      <w:r w:rsidR="00F6175F">
        <w:t xml:space="preserve"> century</w:t>
      </w:r>
      <w:r>
        <w:t xml:space="preserve"> (Muhling et al., 2011). </w:t>
      </w:r>
      <w:r w:rsidR="004C1049">
        <w:t xml:space="preserve">However, a subsequent study which downscaled global </w:t>
      </w:r>
      <w:r w:rsidR="00F6175F">
        <w:t xml:space="preserve">climate </w:t>
      </w:r>
      <w:r w:rsidR="004C1049">
        <w:t>models to a regional scale indicated that temperature projections for the northern GoM may be over-estimated by global models (Liu et al., 2012).</w:t>
      </w:r>
      <w:r w:rsidR="00F37204">
        <w:t xml:space="preserve"> </w:t>
      </w:r>
      <w:r w:rsidR="005C24B1">
        <w:t>This was due to the inability of these low-resolution models to resolve the characteristics of the Loop Current, which Liu et al. (2012) predict will weaken substantially by the late 21</w:t>
      </w:r>
      <w:r w:rsidR="005C24B1" w:rsidRPr="005C24B1">
        <w:rPr>
          <w:vertAlign w:val="superscript"/>
        </w:rPr>
        <w:t>st</w:t>
      </w:r>
      <w:r w:rsidR="005C24B1">
        <w:t xml:space="preserve"> century. </w:t>
      </w:r>
      <w:r w:rsidR="00F37204">
        <w:t xml:space="preserve">These results </w:t>
      </w:r>
      <w:r w:rsidR="00B21055">
        <w:t>imply</w:t>
      </w:r>
      <w:r w:rsidR="00F37204">
        <w:t xml:space="preserve"> a need to consider the dynamics of regional current systems when predicting the biological impacts of climate change.</w:t>
      </w:r>
    </w:p>
    <w:p w:rsidR="004D0C76" w:rsidRDefault="004D0C76" w:rsidP="004D0C76">
      <w:pPr>
        <w:autoSpaceDE w:val="0"/>
        <w:autoSpaceDN w:val="0"/>
        <w:adjustRightInd w:val="0"/>
        <w:spacing w:line="480" w:lineRule="auto"/>
        <w:ind w:firstLine="360"/>
        <w:jc w:val="both"/>
      </w:pPr>
      <w:r>
        <w:lastRenderedPageBreak/>
        <w:t xml:space="preserve">Here, we aimed to extend current knowledge of </w:t>
      </w:r>
      <w:r w:rsidR="001500C3">
        <w:t>climate change</w:t>
      </w:r>
      <w:r>
        <w:t xml:space="preserve"> impacts on tunas in several ways. Firstly, we </w:t>
      </w:r>
      <w:r w:rsidR="001500C3">
        <w:t>obtained projections of future conditions using</w:t>
      </w:r>
      <w:r>
        <w:t xml:space="preserve"> </w:t>
      </w:r>
      <w:r w:rsidR="001500C3">
        <w:rPr>
          <w:color w:val="000000"/>
        </w:rPr>
        <w:t xml:space="preserve">a high-resolution ocean model </w:t>
      </w:r>
      <w:r>
        <w:rPr>
          <w:color w:val="000000"/>
        </w:rPr>
        <w:t xml:space="preserve">constrained with new versions of surface forcing fields, initial and boundary conditions obtained from CMIP5 model simulations, under </w:t>
      </w:r>
      <w:r w:rsidR="0036037B">
        <w:rPr>
          <w:color w:val="000000"/>
        </w:rPr>
        <w:t>20</w:t>
      </w:r>
      <w:r w:rsidR="0036037B" w:rsidRPr="0036037B">
        <w:rPr>
          <w:color w:val="000000"/>
          <w:vertAlign w:val="superscript"/>
        </w:rPr>
        <w:t>th</w:t>
      </w:r>
      <w:r w:rsidR="0036037B">
        <w:rPr>
          <w:color w:val="000000"/>
        </w:rPr>
        <w:t xml:space="preserve"> century</w:t>
      </w:r>
      <w:r>
        <w:rPr>
          <w:color w:val="000000"/>
        </w:rPr>
        <w:t>, RCP4.5 and RCP8.5 scenarios</w:t>
      </w:r>
      <w:r w:rsidR="001500C3">
        <w:rPr>
          <w:color w:val="000000"/>
        </w:rPr>
        <w:t xml:space="preserve"> (Liu et al., this volume)</w:t>
      </w:r>
      <w:r>
        <w:rPr>
          <w:color w:val="000000"/>
        </w:rPr>
        <w:t xml:space="preserve">. In addition, </w:t>
      </w:r>
      <w:r>
        <w:t xml:space="preserve">to explore the </w:t>
      </w:r>
      <w:r w:rsidR="001500C3">
        <w:t xml:space="preserve">usually-neglected </w:t>
      </w:r>
      <w:r>
        <w:t xml:space="preserve">impact of natural climate variability on </w:t>
      </w:r>
      <w:r w:rsidR="001500C3">
        <w:t>the region</w:t>
      </w:r>
      <w:r>
        <w:t xml:space="preserve">, </w:t>
      </w:r>
      <w:r w:rsidR="001500C3">
        <w:t>we used outputs from a</w:t>
      </w:r>
      <w:r>
        <w:t xml:space="preserve"> </w:t>
      </w:r>
      <w:r w:rsidR="001500C3">
        <w:t xml:space="preserve">high-resolution </w:t>
      </w:r>
      <w:r>
        <w:t>dynamic</w:t>
      </w:r>
      <w:r w:rsidR="001500C3">
        <w:t>ally</w:t>
      </w:r>
      <w:r>
        <w:t xml:space="preserve"> downscal</w:t>
      </w:r>
      <w:r w:rsidR="001500C3">
        <w:t>ed</w:t>
      </w:r>
      <w:r>
        <w:t xml:space="preserve"> ocean model, for the period 1871-2008</w:t>
      </w:r>
      <w:r w:rsidR="001500C3">
        <w:t xml:space="preserve"> (Liu et al., this volume)</w:t>
      </w:r>
      <w:r>
        <w:t xml:space="preserve">. These experiments provided simulations of ocean temperature conditions for more than a century before the present day, and projections for nearly one century into the future. </w:t>
      </w:r>
      <w:r w:rsidR="001500C3">
        <w:t xml:space="preserve">We applied temperature fields from these models to habitat suitability models constructed for </w:t>
      </w:r>
      <w:r>
        <w:t xml:space="preserve">two life stages (adults and larvae) of two tuna species within the broader IAS region: one tropical (SKJ) and one temperate (BFT). Habitat models were parameterized using present day data, and then applied to both past and future projections of ocean conditions. Variability in adult and larval habitats, and potential losses and gains into the future were then quantified.  </w:t>
      </w:r>
    </w:p>
    <w:p w:rsidR="001442D9" w:rsidRDefault="001442D9" w:rsidP="004D0C76">
      <w:pPr>
        <w:autoSpaceDE w:val="0"/>
        <w:autoSpaceDN w:val="0"/>
        <w:adjustRightInd w:val="0"/>
        <w:spacing w:line="480" w:lineRule="auto"/>
        <w:ind w:firstLine="360"/>
        <w:jc w:val="both"/>
      </w:pPr>
    </w:p>
    <w:p w:rsidR="001442D9" w:rsidRDefault="001442D9">
      <w:pPr>
        <w:spacing w:after="200" w:line="276" w:lineRule="auto"/>
      </w:pPr>
      <w:r>
        <w:br w:type="page"/>
      </w:r>
    </w:p>
    <w:p w:rsidR="001442D9" w:rsidRPr="00AC771E" w:rsidRDefault="001442D9" w:rsidP="00AC771E">
      <w:pPr>
        <w:pStyle w:val="ListParagraph"/>
        <w:numPr>
          <w:ilvl w:val="0"/>
          <w:numId w:val="6"/>
        </w:numPr>
        <w:autoSpaceDE w:val="0"/>
        <w:autoSpaceDN w:val="0"/>
        <w:adjustRightInd w:val="0"/>
        <w:spacing w:line="480" w:lineRule="auto"/>
        <w:ind w:left="0" w:firstLine="0"/>
        <w:jc w:val="both"/>
        <w:rPr>
          <w:b/>
        </w:rPr>
      </w:pPr>
      <w:r w:rsidRPr="00AC771E">
        <w:rPr>
          <w:b/>
        </w:rPr>
        <w:lastRenderedPageBreak/>
        <w:t>Methods</w:t>
      </w:r>
    </w:p>
    <w:p w:rsidR="00945C8B" w:rsidRPr="004861EC" w:rsidRDefault="00AC771E" w:rsidP="00945C8B">
      <w:pPr>
        <w:spacing w:line="480" w:lineRule="auto"/>
        <w:jc w:val="both"/>
        <w:rPr>
          <w:i/>
        </w:rPr>
      </w:pPr>
      <w:r>
        <w:rPr>
          <w:i/>
        </w:rPr>
        <w:t xml:space="preserve">2.1 </w:t>
      </w:r>
      <w:r>
        <w:rPr>
          <w:i/>
        </w:rPr>
        <w:tab/>
      </w:r>
      <w:r w:rsidR="00945C8B" w:rsidRPr="004861EC">
        <w:rPr>
          <w:i/>
        </w:rPr>
        <w:t>Adult Data</w:t>
      </w:r>
    </w:p>
    <w:p w:rsidR="00945C8B" w:rsidRDefault="00945C8B" w:rsidP="00B73E58">
      <w:pPr>
        <w:spacing w:line="480" w:lineRule="auto"/>
        <w:ind w:firstLine="360"/>
        <w:jc w:val="both"/>
        <w:rPr>
          <w:color w:val="000000"/>
        </w:rPr>
      </w:pPr>
      <w:r>
        <w:rPr>
          <w:color w:val="000000"/>
        </w:rPr>
        <w:t xml:space="preserve">Catch data for adult BFT and SKJ were obtained from the </w:t>
      </w:r>
      <w:r w:rsidRPr="00D87D78">
        <w:rPr>
          <w:color w:val="000000"/>
        </w:rPr>
        <w:t>International Commission for the Conservation of Atlantic Tunas</w:t>
      </w:r>
      <w:r>
        <w:rPr>
          <w:color w:val="000000"/>
        </w:rPr>
        <w:t xml:space="preserve"> (ICCAT) Task II database, downloaded from </w:t>
      </w:r>
      <w:hyperlink r:id="rId9" w:history="1">
        <w:r w:rsidRPr="00053D50">
          <w:rPr>
            <w:rStyle w:val="Hyperlink"/>
          </w:rPr>
          <w:t>www.iccat.es</w:t>
        </w:r>
      </w:hyperlink>
      <w:r>
        <w:rPr>
          <w:color w:val="000000"/>
        </w:rPr>
        <w:t xml:space="preserve">. </w:t>
      </w:r>
      <w:r w:rsidR="00B56A80">
        <w:rPr>
          <w:color w:val="000000"/>
        </w:rPr>
        <w:t xml:space="preserve">All gear types were considered, however 98.2% of records for the GOM/CBN region were from pelagic longlines. </w:t>
      </w:r>
      <w:r>
        <w:rPr>
          <w:color w:val="000000"/>
        </w:rPr>
        <w:t>In order to reduce biases from temporal changes in stock sizes, reporting rates, and fishing methods, only presence/absence data from 2000 – 20</w:t>
      </w:r>
      <w:r w:rsidR="00367733">
        <w:rPr>
          <w:color w:val="000000"/>
        </w:rPr>
        <w:t>09</w:t>
      </w:r>
      <w:r>
        <w:rPr>
          <w:color w:val="000000"/>
        </w:rPr>
        <w:t xml:space="preserve"> were used</w:t>
      </w:r>
      <w:r w:rsidR="00367733">
        <w:rPr>
          <w:color w:val="000000"/>
        </w:rPr>
        <w:t xml:space="preserve"> for habitat model development</w:t>
      </w:r>
      <w:r>
        <w:rPr>
          <w:color w:val="000000"/>
        </w:rPr>
        <w:t xml:space="preserve">. </w:t>
      </w:r>
      <w:r w:rsidR="00443E56">
        <w:rPr>
          <w:color w:val="000000"/>
        </w:rPr>
        <w:t>Monthly d</w:t>
      </w:r>
      <w:r>
        <w:rPr>
          <w:color w:val="000000"/>
        </w:rPr>
        <w:t xml:space="preserve">ata </w:t>
      </w:r>
      <w:r w:rsidR="00443E56">
        <w:rPr>
          <w:color w:val="000000"/>
        </w:rPr>
        <w:t>gridded</w:t>
      </w:r>
      <w:r w:rsidR="0085024D">
        <w:rPr>
          <w:color w:val="000000"/>
        </w:rPr>
        <w:t xml:space="preserve"> </w:t>
      </w:r>
      <w:r>
        <w:rPr>
          <w:color w:val="000000"/>
        </w:rPr>
        <w:t xml:space="preserve">at 1x1 degree resolution </w:t>
      </w:r>
      <w:r w:rsidR="0085024D">
        <w:rPr>
          <w:color w:val="000000"/>
        </w:rPr>
        <w:t xml:space="preserve">(the highest resolution available) </w:t>
      </w:r>
      <w:r>
        <w:rPr>
          <w:color w:val="000000"/>
        </w:rPr>
        <w:t>were included</w:t>
      </w:r>
      <w:r w:rsidR="0085024D">
        <w:rPr>
          <w:color w:val="000000"/>
        </w:rPr>
        <w:t xml:space="preserve"> </w:t>
      </w:r>
      <w:r w:rsidR="00E1118B">
        <w:rPr>
          <w:color w:val="000000"/>
        </w:rPr>
        <w:t xml:space="preserve">in analyses </w:t>
      </w:r>
      <w:r w:rsidR="0085024D">
        <w:rPr>
          <w:color w:val="000000"/>
        </w:rPr>
        <w:t>(Fig. 2)</w:t>
      </w:r>
      <w:r>
        <w:rPr>
          <w:color w:val="000000"/>
        </w:rPr>
        <w:t xml:space="preserve">. </w:t>
      </w:r>
      <w:r w:rsidR="001C6810">
        <w:rPr>
          <w:color w:val="000000"/>
        </w:rPr>
        <w:t xml:space="preserve">In order to visually assess habitat model predictions, data from 1990-2009 were </w:t>
      </w:r>
      <w:r w:rsidR="0020505C">
        <w:rPr>
          <w:color w:val="000000"/>
        </w:rPr>
        <w:t>overlaid on</w:t>
      </w:r>
      <w:r w:rsidR="001C6810">
        <w:rPr>
          <w:color w:val="000000"/>
        </w:rPr>
        <w:t xml:space="preserve"> probabilities of occurrence for the present day. Data from these two decades were used for this purpose as they included greater coverage of the CBN region than data from the 2000s only. </w:t>
      </w:r>
      <w:r w:rsidR="008260C4">
        <w:rPr>
          <w:color w:val="000000"/>
        </w:rPr>
        <w:t xml:space="preserve">However, data coverage for both adults and larvae was much greater in the GoM than the CBN (Fig. 2). </w:t>
      </w:r>
    </w:p>
    <w:p w:rsidR="00945C8B" w:rsidRPr="004861EC" w:rsidRDefault="00AC771E" w:rsidP="00AC771E">
      <w:pPr>
        <w:spacing w:line="480" w:lineRule="auto"/>
        <w:jc w:val="both"/>
        <w:rPr>
          <w:i/>
          <w:color w:val="000000"/>
        </w:rPr>
      </w:pPr>
      <w:r>
        <w:rPr>
          <w:i/>
          <w:color w:val="000000"/>
        </w:rPr>
        <w:t>2.2</w:t>
      </w:r>
      <w:r>
        <w:rPr>
          <w:i/>
          <w:color w:val="000000"/>
        </w:rPr>
        <w:tab/>
      </w:r>
      <w:r w:rsidR="00945C8B" w:rsidRPr="004861EC">
        <w:rPr>
          <w:i/>
          <w:color w:val="000000"/>
        </w:rPr>
        <w:t>Larval Data</w:t>
      </w:r>
    </w:p>
    <w:p w:rsidR="00945C8B" w:rsidRDefault="0085024D" w:rsidP="00B73E58">
      <w:pPr>
        <w:spacing w:line="480" w:lineRule="auto"/>
        <w:ind w:firstLine="360"/>
        <w:jc w:val="both"/>
        <w:rPr>
          <w:color w:val="000000"/>
        </w:rPr>
      </w:pPr>
      <w:r>
        <w:rPr>
          <w:color w:val="000000"/>
        </w:rPr>
        <w:t>Larval data were obtained from the South-East Monitoring and Assessment Program (SEAMAP) database</w:t>
      </w:r>
      <w:r w:rsidR="00E1118B">
        <w:rPr>
          <w:color w:val="000000"/>
        </w:rPr>
        <w:t xml:space="preserve"> (</w:t>
      </w:r>
      <w:r w:rsidR="00E1118B" w:rsidRPr="00E1118B">
        <w:rPr>
          <w:color w:val="000000"/>
        </w:rPr>
        <w:t>Lyczkowski-Shultz and Hanisko, 2007</w:t>
      </w:r>
      <w:r w:rsidR="00E1118B">
        <w:rPr>
          <w:color w:val="000000"/>
        </w:rPr>
        <w:t>)</w:t>
      </w:r>
      <w:r>
        <w:rPr>
          <w:color w:val="000000"/>
        </w:rPr>
        <w:t xml:space="preserve">. </w:t>
      </w:r>
      <w:r w:rsidR="0024601E">
        <w:rPr>
          <w:color w:val="000000"/>
        </w:rPr>
        <w:t xml:space="preserve">Sampling effort has typically covered the shelf and offshore areas of the </w:t>
      </w:r>
      <w:r w:rsidR="00E33C28">
        <w:rPr>
          <w:color w:val="000000"/>
        </w:rPr>
        <w:t xml:space="preserve">northern </w:t>
      </w:r>
      <w:r w:rsidR="0024601E">
        <w:rPr>
          <w:color w:val="000000"/>
        </w:rPr>
        <w:t xml:space="preserve">GoM in spring, and inshore and shelf areas in summer and fall, and has been ongoing since 1982. More recent cruises since 2009 have completed some limited sampling in the </w:t>
      </w:r>
      <w:r w:rsidR="00E33C28">
        <w:rPr>
          <w:color w:val="000000"/>
        </w:rPr>
        <w:t xml:space="preserve">southwestern GoM and </w:t>
      </w:r>
      <w:r w:rsidR="0024601E">
        <w:rPr>
          <w:color w:val="000000"/>
        </w:rPr>
        <w:t xml:space="preserve">CBN (Fig. 2). The most complete time series </w:t>
      </w:r>
      <w:r w:rsidR="00390457">
        <w:rPr>
          <w:color w:val="000000"/>
        </w:rPr>
        <w:t xml:space="preserve">available </w:t>
      </w:r>
      <w:r w:rsidR="007526CA">
        <w:rPr>
          <w:color w:val="000000"/>
        </w:rPr>
        <w:t>were</w:t>
      </w:r>
      <w:r w:rsidR="0024601E">
        <w:rPr>
          <w:color w:val="000000"/>
        </w:rPr>
        <w:t xml:space="preserve"> from bongo </w:t>
      </w:r>
      <w:r w:rsidR="00E33C28">
        <w:rPr>
          <w:color w:val="000000"/>
        </w:rPr>
        <w:t xml:space="preserve">and neuston </w:t>
      </w:r>
      <w:r w:rsidR="0024601E">
        <w:rPr>
          <w:color w:val="000000"/>
        </w:rPr>
        <w:t>net sampling</w:t>
      </w:r>
      <w:r w:rsidR="00E33C28">
        <w:rPr>
          <w:color w:val="000000"/>
        </w:rPr>
        <w:t xml:space="preserve">. The bongo net is </w:t>
      </w:r>
      <w:r w:rsidR="0024601E">
        <w:rPr>
          <w:color w:val="000000"/>
        </w:rPr>
        <w:t>a</w:t>
      </w:r>
      <w:r w:rsidR="0024601E" w:rsidRPr="0024601E">
        <w:rPr>
          <w:color w:val="000000"/>
        </w:rPr>
        <w:t xml:space="preserve"> 61cm diameter </w:t>
      </w:r>
      <w:r w:rsidR="0024601E">
        <w:rPr>
          <w:color w:val="000000"/>
        </w:rPr>
        <w:t xml:space="preserve">round net with </w:t>
      </w:r>
      <w:r w:rsidR="0024601E" w:rsidRPr="0024601E">
        <w:rPr>
          <w:color w:val="000000"/>
        </w:rPr>
        <w:t>333</w:t>
      </w:r>
      <w:r w:rsidR="0024601E" w:rsidRPr="0024601E">
        <w:rPr>
          <w:rFonts w:ascii="Symbol" w:hAnsi="Symbol"/>
          <w:color w:val="000000"/>
        </w:rPr>
        <w:t></w:t>
      </w:r>
      <w:r w:rsidR="0024601E" w:rsidRPr="0024601E">
        <w:rPr>
          <w:color w:val="000000"/>
        </w:rPr>
        <w:t xml:space="preserve">m </w:t>
      </w:r>
      <w:r w:rsidR="0024601E">
        <w:rPr>
          <w:color w:val="000000"/>
        </w:rPr>
        <w:t>mesh</w:t>
      </w:r>
      <w:r w:rsidR="0024601E" w:rsidRPr="0024601E">
        <w:rPr>
          <w:color w:val="000000"/>
        </w:rPr>
        <w:t>, towed oblique</w:t>
      </w:r>
      <w:r w:rsidR="0024601E">
        <w:rPr>
          <w:color w:val="000000"/>
        </w:rPr>
        <w:t>ly</w:t>
      </w:r>
      <w:r w:rsidR="0024601E" w:rsidRPr="0024601E">
        <w:rPr>
          <w:color w:val="000000"/>
        </w:rPr>
        <w:t xml:space="preserve"> manner to 200m depth, or within 2-5m of the bottom</w:t>
      </w:r>
      <w:r w:rsidR="00E33C28">
        <w:rPr>
          <w:color w:val="000000"/>
        </w:rPr>
        <w:t xml:space="preserve"> (Richards et al. </w:t>
      </w:r>
      <w:r w:rsidR="0024601E" w:rsidRPr="0024601E">
        <w:rPr>
          <w:color w:val="000000"/>
        </w:rPr>
        <w:t xml:space="preserve">1993). </w:t>
      </w:r>
      <w:r w:rsidR="00E33C28">
        <w:rPr>
          <w:color w:val="000000"/>
        </w:rPr>
        <w:t xml:space="preserve">The neuston net is 1 x 2m with </w:t>
      </w:r>
      <w:r w:rsidR="00481207">
        <w:rPr>
          <w:color w:val="000000"/>
        </w:rPr>
        <w:t>950</w:t>
      </w:r>
      <w:r w:rsidR="00481207" w:rsidRPr="00481207">
        <w:rPr>
          <w:rFonts w:ascii="Symbol" w:hAnsi="Symbol"/>
          <w:color w:val="000000"/>
        </w:rPr>
        <w:t></w:t>
      </w:r>
      <w:r w:rsidR="00481207">
        <w:rPr>
          <w:color w:val="000000"/>
        </w:rPr>
        <w:t xml:space="preserve">m mesh, and is towed at the air-sea interface. </w:t>
      </w:r>
      <w:r w:rsidR="0024601E" w:rsidRPr="0024601E">
        <w:rPr>
          <w:color w:val="000000"/>
        </w:rPr>
        <w:t xml:space="preserve">Samples </w:t>
      </w:r>
      <w:r w:rsidR="0024601E">
        <w:rPr>
          <w:color w:val="000000"/>
        </w:rPr>
        <w:t>were</w:t>
      </w:r>
      <w:r w:rsidR="0024601E" w:rsidRPr="0024601E">
        <w:rPr>
          <w:color w:val="000000"/>
        </w:rPr>
        <w:t xml:space="preserve"> sorted, and larva</w:t>
      </w:r>
      <w:r w:rsidR="0024601E">
        <w:rPr>
          <w:color w:val="000000"/>
        </w:rPr>
        <w:t>l fish</w:t>
      </w:r>
      <w:r w:rsidR="0024601E" w:rsidRPr="0024601E">
        <w:rPr>
          <w:color w:val="000000"/>
        </w:rPr>
        <w:t xml:space="preserve"> identified to the lowest </w:t>
      </w:r>
      <w:r w:rsidR="0024601E" w:rsidRPr="0024601E">
        <w:rPr>
          <w:color w:val="000000"/>
        </w:rPr>
        <w:lastRenderedPageBreak/>
        <w:t>possible taxa</w:t>
      </w:r>
      <w:r w:rsidR="0024601E">
        <w:rPr>
          <w:color w:val="000000"/>
        </w:rPr>
        <w:t>,</w:t>
      </w:r>
      <w:r w:rsidR="0024601E" w:rsidRPr="0024601E">
        <w:rPr>
          <w:color w:val="000000"/>
        </w:rPr>
        <w:t xml:space="preserve"> at the Sea Fisheries Institute Plankton Sorting and Identification Center, Gdynia and Szczecin, Poland. </w:t>
      </w:r>
      <w:r w:rsidR="00E33C28">
        <w:rPr>
          <w:color w:val="000000"/>
        </w:rPr>
        <w:t>In order to account for</w:t>
      </w:r>
      <w:r w:rsidR="00AC526F">
        <w:rPr>
          <w:color w:val="000000"/>
        </w:rPr>
        <w:t xml:space="preserve"> sampling inefficiencies among net types (Muhling et al., 2012), larval fish data were used at presence/absence level. If either or both nets at a sampling station recorded a species of interest, the station was considered to be positive. </w:t>
      </w:r>
      <w:r w:rsidR="00E33C28">
        <w:rPr>
          <w:color w:val="000000"/>
        </w:rPr>
        <w:t xml:space="preserve"> </w:t>
      </w:r>
      <w:r w:rsidR="0024601E" w:rsidRPr="0024601E">
        <w:rPr>
          <w:color w:val="000000"/>
        </w:rPr>
        <w:t xml:space="preserve">  </w:t>
      </w:r>
      <w:r w:rsidR="0024601E">
        <w:rPr>
          <w:color w:val="000000"/>
        </w:rPr>
        <w:t xml:space="preserve">  </w:t>
      </w:r>
      <w:r>
        <w:rPr>
          <w:color w:val="000000"/>
        </w:rPr>
        <w:t xml:space="preserve"> </w:t>
      </w:r>
    </w:p>
    <w:p w:rsidR="00945C8B" w:rsidRDefault="00AC771E" w:rsidP="00AC771E">
      <w:pPr>
        <w:spacing w:line="480" w:lineRule="auto"/>
        <w:jc w:val="both"/>
        <w:rPr>
          <w:i/>
          <w:color w:val="000000"/>
        </w:rPr>
      </w:pPr>
      <w:r>
        <w:rPr>
          <w:i/>
          <w:color w:val="000000"/>
        </w:rPr>
        <w:t>2.3</w:t>
      </w:r>
      <w:r>
        <w:rPr>
          <w:i/>
          <w:color w:val="000000"/>
        </w:rPr>
        <w:tab/>
      </w:r>
      <w:r w:rsidR="00945C8B" w:rsidRPr="004861EC">
        <w:rPr>
          <w:i/>
          <w:color w:val="000000"/>
        </w:rPr>
        <w:t>Environmental Data</w:t>
      </w:r>
    </w:p>
    <w:p w:rsidR="00367733" w:rsidRDefault="00367733" w:rsidP="00E7514A">
      <w:pPr>
        <w:spacing w:line="480" w:lineRule="auto"/>
        <w:ind w:firstLine="360"/>
        <w:jc w:val="both"/>
        <w:rPr>
          <w:color w:val="000000"/>
        </w:rPr>
      </w:pPr>
      <w:r>
        <w:rPr>
          <w:color w:val="000000"/>
        </w:rPr>
        <w:t xml:space="preserve">Reliable environmental data </w:t>
      </w:r>
      <w:r w:rsidR="00776644">
        <w:rPr>
          <w:color w:val="000000"/>
        </w:rPr>
        <w:t>were</w:t>
      </w:r>
      <w:r>
        <w:rPr>
          <w:color w:val="000000"/>
        </w:rPr>
        <w:t xml:space="preserve"> not recorded along with adult catch data, and so environmental variables were obtained from remotely sensed satellite data. Surface temperature values were extracted from the </w:t>
      </w:r>
      <w:r w:rsidRPr="00367733">
        <w:rPr>
          <w:color w:val="000000"/>
        </w:rPr>
        <w:t>NOAA 4km AVHRR Pathfinder v5.1 dataset</w:t>
      </w:r>
      <w:r>
        <w:rPr>
          <w:color w:val="000000"/>
        </w:rPr>
        <w:t xml:space="preserve">, </w:t>
      </w:r>
      <w:r w:rsidRPr="00367733">
        <w:rPr>
          <w:color w:val="000000"/>
        </w:rPr>
        <w:t>at monthly resolution</w:t>
      </w:r>
      <w:r w:rsidR="00774224">
        <w:rPr>
          <w:color w:val="000000"/>
        </w:rPr>
        <w:t>, using the Marine Geospatial Ecology Toolbox (Roberts et al., 2010)</w:t>
      </w:r>
      <w:r>
        <w:rPr>
          <w:color w:val="000000"/>
        </w:rPr>
        <w:t xml:space="preserve">. Temperatures at 200m depth were extracted from the </w:t>
      </w:r>
      <w:r w:rsidR="00E7514A" w:rsidRPr="00E7514A">
        <w:rPr>
          <w:color w:val="000000"/>
        </w:rPr>
        <w:t>0.25</w:t>
      </w:r>
      <w:r w:rsidR="00E7514A">
        <w:rPr>
          <w:color w:val="000000"/>
        </w:rPr>
        <w:t>°</w:t>
      </w:r>
      <w:r w:rsidR="00E7514A" w:rsidRPr="00E7514A">
        <w:rPr>
          <w:color w:val="000000"/>
        </w:rPr>
        <w:t xml:space="preserve"> x 0.25</w:t>
      </w:r>
      <w:r w:rsidR="00E7514A">
        <w:rPr>
          <w:color w:val="000000"/>
        </w:rPr>
        <w:t>°</w:t>
      </w:r>
      <w:r w:rsidR="00E7514A" w:rsidRPr="00E7514A">
        <w:rPr>
          <w:color w:val="000000"/>
        </w:rPr>
        <w:t xml:space="preserve"> </w:t>
      </w:r>
      <w:r w:rsidR="00E7514A">
        <w:rPr>
          <w:color w:val="000000"/>
        </w:rPr>
        <w:t>“</w:t>
      </w:r>
      <w:r w:rsidR="00E7514A" w:rsidRPr="00E7514A">
        <w:rPr>
          <w:color w:val="000000"/>
        </w:rPr>
        <w:t>Estimating the Circulation and Climate of</w:t>
      </w:r>
      <w:r w:rsidR="00E7514A">
        <w:rPr>
          <w:color w:val="000000"/>
        </w:rPr>
        <w:t xml:space="preserve"> </w:t>
      </w:r>
      <w:r w:rsidR="00E7514A" w:rsidRPr="00E7514A">
        <w:rPr>
          <w:color w:val="000000"/>
        </w:rPr>
        <w:t>the Ocean, Phase II</w:t>
      </w:r>
      <w:r w:rsidR="00E7514A">
        <w:rPr>
          <w:color w:val="000000"/>
        </w:rPr>
        <w:t>”</w:t>
      </w:r>
      <w:r w:rsidR="00E7514A" w:rsidRPr="00E7514A">
        <w:rPr>
          <w:color w:val="000000"/>
        </w:rPr>
        <w:t xml:space="preserve"> (ECCO II) project (www.ecco2.org)</w:t>
      </w:r>
      <w:r>
        <w:rPr>
          <w:color w:val="000000"/>
        </w:rPr>
        <w:t>, also at monthly resolution. Water depths were extracted from NOAA’s 1 minute GEODAS bathymetry database.</w:t>
      </w:r>
    </w:p>
    <w:p w:rsidR="00776644" w:rsidRDefault="00776644" w:rsidP="00B73E58">
      <w:pPr>
        <w:spacing w:line="480" w:lineRule="auto"/>
        <w:ind w:firstLine="360"/>
        <w:jc w:val="both"/>
        <w:rPr>
          <w:color w:val="000000"/>
        </w:rPr>
      </w:pPr>
      <w:r>
        <w:rPr>
          <w:color w:val="000000"/>
        </w:rPr>
        <w:t xml:space="preserve">Conductivity-Temperature-Depth (CTD) casts were collected at most SEAMAP stations, providing </w:t>
      </w:r>
      <w:r w:rsidRPr="00776644">
        <w:rPr>
          <w:i/>
          <w:color w:val="000000"/>
        </w:rPr>
        <w:t>in situ</w:t>
      </w:r>
      <w:r>
        <w:rPr>
          <w:color w:val="000000"/>
        </w:rPr>
        <w:t xml:space="preserve"> temperatures at the surface and 200m depth. Where cast data were missing or unavailable, temperatures </w:t>
      </w:r>
      <w:r w:rsidR="00681C8D">
        <w:rPr>
          <w:color w:val="000000"/>
        </w:rPr>
        <w:t xml:space="preserve">at the surface and at </w:t>
      </w:r>
      <w:r>
        <w:rPr>
          <w:color w:val="000000"/>
        </w:rPr>
        <w:t xml:space="preserve">200m depth were obtained from the Gulf of Mexico HYCOM + NCODA 1/25° Analysis (2008 – present, daily resolution). The linear correlation coefficient between </w:t>
      </w:r>
      <w:r w:rsidRPr="00776644">
        <w:rPr>
          <w:i/>
          <w:color w:val="000000"/>
        </w:rPr>
        <w:t>in situ</w:t>
      </w:r>
      <w:r>
        <w:rPr>
          <w:color w:val="000000"/>
        </w:rPr>
        <w:t xml:space="preserve"> and </w:t>
      </w:r>
      <w:r w:rsidR="00681C8D">
        <w:rPr>
          <w:color w:val="000000"/>
        </w:rPr>
        <w:t>modeled</w:t>
      </w:r>
      <w:r>
        <w:rPr>
          <w:color w:val="000000"/>
        </w:rPr>
        <w:t xml:space="preserve"> surface temperatures (where both were available) was 0.90 with a slope of 0.93</w:t>
      </w:r>
      <w:r w:rsidR="00681C8D">
        <w:rPr>
          <w:color w:val="000000"/>
        </w:rPr>
        <w:t xml:space="preserve"> at the surface</w:t>
      </w:r>
      <w:r>
        <w:rPr>
          <w:color w:val="000000"/>
        </w:rPr>
        <w:t>, and 0.91, with a slope of 0.95</w:t>
      </w:r>
      <w:r w:rsidR="00681C8D">
        <w:rPr>
          <w:color w:val="000000"/>
        </w:rPr>
        <w:t xml:space="preserve"> at 200m</w:t>
      </w:r>
      <w:r>
        <w:rPr>
          <w:color w:val="000000"/>
        </w:rPr>
        <w:t xml:space="preserve">. This suggested that </w:t>
      </w:r>
      <w:r w:rsidR="00681C8D">
        <w:rPr>
          <w:color w:val="000000"/>
        </w:rPr>
        <w:t>the</w:t>
      </w:r>
      <w:r>
        <w:rPr>
          <w:color w:val="000000"/>
        </w:rPr>
        <w:t xml:space="preserve"> modeled data provided satisfactory estimates of </w:t>
      </w:r>
      <w:r w:rsidRPr="00776644">
        <w:rPr>
          <w:i/>
          <w:color w:val="000000"/>
        </w:rPr>
        <w:t>in situ</w:t>
      </w:r>
      <w:r>
        <w:rPr>
          <w:color w:val="000000"/>
        </w:rPr>
        <w:t xml:space="preserve"> conditions, with minimal bias. Water depths were obtained in the same manner as for adult data.</w:t>
      </w:r>
    </w:p>
    <w:p w:rsidR="00776644" w:rsidRDefault="00776644" w:rsidP="00B73E58">
      <w:pPr>
        <w:spacing w:line="480" w:lineRule="auto"/>
        <w:ind w:firstLine="360"/>
        <w:jc w:val="both"/>
        <w:rPr>
          <w:color w:val="000000"/>
        </w:rPr>
      </w:pPr>
      <w:r>
        <w:rPr>
          <w:color w:val="000000"/>
        </w:rPr>
        <w:t xml:space="preserve">One additional important variable was the </w:t>
      </w:r>
      <w:r w:rsidR="006439C3">
        <w:rPr>
          <w:color w:val="000000"/>
        </w:rPr>
        <w:t xml:space="preserve">seasonal </w:t>
      </w:r>
      <w:r>
        <w:rPr>
          <w:color w:val="000000"/>
        </w:rPr>
        <w:t>trend of the surface temperature. Spawning may be triggered by both the presence of suitable temperatures, and by the rate of change of temperature (</w:t>
      </w:r>
      <w:r w:rsidR="00871EF2" w:rsidRPr="00871EF2">
        <w:t>e.g. Medina et al., 2002</w:t>
      </w:r>
      <w:r>
        <w:rPr>
          <w:color w:val="000000"/>
        </w:rPr>
        <w:t xml:space="preserve">). </w:t>
      </w:r>
      <w:r w:rsidR="00681C8D">
        <w:rPr>
          <w:color w:val="000000"/>
        </w:rPr>
        <w:t xml:space="preserve">To estimate the </w:t>
      </w:r>
      <w:r w:rsidR="006439C3">
        <w:rPr>
          <w:color w:val="000000"/>
        </w:rPr>
        <w:t xml:space="preserve">seasonal </w:t>
      </w:r>
      <w:r w:rsidR="00681C8D">
        <w:rPr>
          <w:color w:val="000000"/>
        </w:rPr>
        <w:t xml:space="preserve">trend in surface </w:t>
      </w:r>
      <w:r w:rsidR="00681C8D">
        <w:rPr>
          <w:color w:val="000000"/>
        </w:rPr>
        <w:lastRenderedPageBreak/>
        <w:t>temperature</w:t>
      </w:r>
      <w:r w:rsidR="003D346F">
        <w:rPr>
          <w:color w:val="000000"/>
        </w:rPr>
        <w:t xml:space="preserve"> by year</w:t>
      </w:r>
      <w:r w:rsidR="00681C8D">
        <w:rPr>
          <w:color w:val="000000"/>
        </w:rPr>
        <w:t>, we used data from five buoys spread across the study region (Fig. 2).</w:t>
      </w:r>
      <w:r w:rsidR="00871EF2">
        <w:rPr>
          <w:color w:val="000000"/>
        </w:rPr>
        <w:t xml:space="preserve"> </w:t>
      </w:r>
      <w:r w:rsidR="00C564F5">
        <w:rPr>
          <w:color w:val="000000"/>
        </w:rPr>
        <w:t xml:space="preserve">Data were downloaded from </w:t>
      </w:r>
      <w:hyperlink r:id="rId10" w:history="1">
        <w:r w:rsidR="00C564F5" w:rsidRPr="00053D50">
          <w:rPr>
            <w:rStyle w:val="Hyperlink"/>
          </w:rPr>
          <w:t>www.ndbc.noaa.gov</w:t>
        </w:r>
      </w:hyperlink>
      <w:r w:rsidR="00C564F5">
        <w:rPr>
          <w:color w:val="000000"/>
        </w:rPr>
        <w:t xml:space="preserve">. </w:t>
      </w:r>
      <w:r w:rsidR="00284B70">
        <w:rPr>
          <w:color w:val="000000"/>
        </w:rPr>
        <w:t xml:space="preserve">Buoys with more northern latitudes showed a more pronounced seasonal signal, with lower surface temperatures in winter and fall. </w:t>
      </w:r>
      <w:r w:rsidR="003D346F">
        <w:rPr>
          <w:color w:val="000000"/>
        </w:rPr>
        <w:t>Mid</w:t>
      </w:r>
      <w:r w:rsidR="000C7E06">
        <w:rPr>
          <w:color w:val="000000"/>
        </w:rPr>
        <w:t>-</w:t>
      </w:r>
      <w:r w:rsidR="003D346F">
        <w:rPr>
          <w:color w:val="000000"/>
        </w:rPr>
        <w:t>winter (February) and mid</w:t>
      </w:r>
      <w:r w:rsidR="000C7E06">
        <w:rPr>
          <w:color w:val="000000"/>
        </w:rPr>
        <w:t>-</w:t>
      </w:r>
      <w:r w:rsidR="003D346F">
        <w:rPr>
          <w:color w:val="000000"/>
        </w:rPr>
        <w:t>summer (August) temperature rates of change were weak, and not strongly related to latitude. In contrast, mid</w:t>
      </w:r>
      <w:r w:rsidR="000C7E06">
        <w:rPr>
          <w:color w:val="000000"/>
        </w:rPr>
        <w:t>-</w:t>
      </w:r>
      <w:r w:rsidR="003D346F">
        <w:rPr>
          <w:color w:val="000000"/>
        </w:rPr>
        <w:t>spring (</w:t>
      </w:r>
      <w:r w:rsidR="000C7E06">
        <w:rPr>
          <w:color w:val="000000"/>
        </w:rPr>
        <w:t>M</w:t>
      </w:r>
      <w:r w:rsidR="003D346F">
        <w:rPr>
          <w:color w:val="000000"/>
        </w:rPr>
        <w:t>ay) and mid</w:t>
      </w:r>
      <w:r w:rsidR="000C7E06">
        <w:rPr>
          <w:color w:val="000000"/>
        </w:rPr>
        <w:t>-</w:t>
      </w:r>
      <w:r w:rsidR="003D346F">
        <w:rPr>
          <w:color w:val="000000"/>
        </w:rPr>
        <w:t>Fall (November) rates of change were more pronounced, and were strongly related to latitude</w:t>
      </w:r>
      <w:r w:rsidR="0082571C">
        <w:rPr>
          <w:color w:val="000000"/>
        </w:rPr>
        <w:t xml:space="preserve"> (Fig. 3)</w:t>
      </w:r>
      <w:r w:rsidR="003D346F">
        <w:rPr>
          <w:color w:val="000000"/>
        </w:rPr>
        <w:t xml:space="preserve">. </w:t>
      </w:r>
      <w:r w:rsidR="0082571C">
        <w:rPr>
          <w:color w:val="000000"/>
        </w:rPr>
        <w:t xml:space="preserve">Buoy 42001 in the northern GoM has been recording almost continuously since 1984, and so mean monthly surface temperature trends from this buoy were applied to all larval and adult records from the GoM, specific to the year of capture. Monthly climatologies were used for larval stations sampled in 1982-3. The other four buoys have only been recording since 2005, and so climatological monthly means for surface temperature trends were averaged for the three CBN buoys, and applied to all samples collected in the CBN. </w:t>
      </w:r>
      <w:r w:rsidR="003D346F">
        <w:rPr>
          <w:color w:val="000000"/>
        </w:rPr>
        <w:t>On a seasonal basis,</w:t>
      </w:r>
      <w:r w:rsidR="000C7E06">
        <w:rPr>
          <w:color w:val="000000"/>
        </w:rPr>
        <w:t xml:space="preserve"> temperature rates of change between the </w:t>
      </w:r>
      <w:r w:rsidR="00DA2879">
        <w:rPr>
          <w:color w:val="000000"/>
        </w:rPr>
        <w:t>mid-20</w:t>
      </w:r>
      <w:r w:rsidR="00DA2879" w:rsidRPr="00DA2879">
        <w:rPr>
          <w:color w:val="000000"/>
          <w:vertAlign w:val="superscript"/>
        </w:rPr>
        <w:t>th</w:t>
      </w:r>
      <w:r w:rsidR="00DA2879">
        <w:rPr>
          <w:color w:val="000000"/>
        </w:rPr>
        <w:t xml:space="preserve"> century, and the </w:t>
      </w:r>
      <w:r w:rsidR="000C7E06">
        <w:rPr>
          <w:color w:val="000000"/>
        </w:rPr>
        <w:t>early, mid and late 21</w:t>
      </w:r>
      <w:r w:rsidR="000C7E06" w:rsidRPr="000C7E06">
        <w:rPr>
          <w:color w:val="000000"/>
          <w:vertAlign w:val="superscript"/>
        </w:rPr>
        <w:t>st</w:t>
      </w:r>
      <w:r w:rsidR="000C7E06">
        <w:rPr>
          <w:color w:val="000000"/>
        </w:rPr>
        <w:t xml:space="preserve"> century, from </w:t>
      </w:r>
      <w:r w:rsidR="00A54B4F">
        <w:rPr>
          <w:color w:val="000000"/>
        </w:rPr>
        <w:t>modeling outputs</w:t>
      </w:r>
      <w:r w:rsidR="00DA2879">
        <w:rPr>
          <w:color w:val="000000"/>
        </w:rPr>
        <w:t xml:space="preserve"> (below, and Liu et al., this volume) were similar, and so present day values for this parameter were applied to </w:t>
      </w:r>
      <w:r w:rsidR="00342DF2">
        <w:rPr>
          <w:color w:val="000000"/>
        </w:rPr>
        <w:t>both past and future projections of habitat suitability.</w:t>
      </w:r>
      <w:r>
        <w:rPr>
          <w:color w:val="000000"/>
        </w:rPr>
        <w:t xml:space="preserve">  </w:t>
      </w:r>
    </w:p>
    <w:p w:rsidR="00DA12AD" w:rsidRDefault="00AC771E" w:rsidP="00AC771E">
      <w:pPr>
        <w:spacing w:line="480" w:lineRule="auto"/>
        <w:jc w:val="both"/>
        <w:rPr>
          <w:i/>
          <w:color w:val="000000"/>
        </w:rPr>
      </w:pPr>
      <w:r>
        <w:rPr>
          <w:i/>
          <w:color w:val="000000"/>
        </w:rPr>
        <w:t>2.4</w:t>
      </w:r>
      <w:r>
        <w:rPr>
          <w:i/>
          <w:color w:val="000000"/>
        </w:rPr>
        <w:tab/>
      </w:r>
      <w:r w:rsidR="00DA12AD" w:rsidRPr="004861EC">
        <w:rPr>
          <w:i/>
          <w:color w:val="000000"/>
        </w:rPr>
        <w:t>Habitat Modeling</w:t>
      </w:r>
    </w:p>
    <w:p w:rsidR="00FC09D3" w:rsidRDefault="00FC09D3" w:rsidP="00B73E58">
      <w:pPr>
        <w:spacing w:line="480" w:lineRule="auto"/>
        <w:ind w:firstLine="360"/>
        <w:jc w:val="both"/>
        <w:rPr>
          <w:color w:val="000000"/>
        </w:rPr>
      </w:pPr>
      <w:r>
        <w:rPr>
          <w:color w:val="000000"/>
        </w:rPr>
        <w:t>Four h</w:t>
      </w:r>
      <w:r w:rsidRPr="00FC09D3">
        <w:rPr>
          <w:color w:val="000000"/>
        </w:rPr>
        <w:t xml:space="preserve">abitat models were built </w:t>
      </w:r>
      <w:r>
        <w:rPr>
          <w:color w:val="000000"/>
        </w:rPr>
        <w:t xml:space="preserve">for this study: one each for larval and adult SKJ, and larval and adult BFT. </w:t>
      </w:r>
      <w:r w:rsidRPr="00FC09D3">
        <w:rPr>
          <w:color w:val="000000"/>
        </w:rPr>
        <w:t xml:space="preserve">Models were developed in DTREG software (Sherrod, 2003), using boosted classification trees. </w:t>
      </w:r>
      <w:r w:rsidR="00CB4358">
        <w:rPr>
          <w:color w:val="000000"/>
        </w:rPr>
        <w:t xml:space="preserve">These models are </w:t>
      </w:r>
      <w:r w:rsidRPr="00FC09D3">
        <w:rPr>
          <w:color w:val="000000"/>
        </w:rPr>
        <w:t>non-parametric, flexible, can model highly non-linear relationships and interaction</w:t>
      </w:r>
      <w:r w:rsidR="00CB4358">
        <w:rPr>
          <w:color w:val="000000"/>
        </w:rPr>
        <w:t>s, and can cope well with zero-inflated data</w:t>
      </w:r>
      <w:r w:rsidRPr="00FC09D3">
        <w:rPr>
          <w:color w:val="000000"/>
        </w:rPr>
        <w:t xml:space="preserve"> (Elith et al., 2008). For presence/absence models, misclassification costs can be adjusted to give greater weight to placing positive occurrences in good habitat, which is useful for organisms which may be under-reported, or with </w:t>
      </w:r>
      <w:r>
        <w:rPr>
          <w:color w:val="000000"/>
        </w:rPr>
        <w:t>sub-optimal catch efficiencies</w:t>
      </w:r>
      <w:r w:rsidRPr="00FC09D3">
        <w:rPr>
          <w:color w:val="000000"/>
        </w:rPr>
        <w:t xml:space="preserve"> (e.g. Muhling et al., 2012). Model</w:t>
      </w:r>
      <w:r w:rsidR="00CB4358">
        <w:rPr>
          <w:color w:val="000000"/>
        </w:rPr>
        <w:t xml:space="preserve">s were </w:t>
      </w:r>
      <w:r w:rsidR="00CB4358">
        <w:rPr>
          <w:color w:val="000000"/>
        </w:rPr>
        <w:lastRenderedPageBreak/>
        <w:t>validated</w:t>
      </w:r>
      <w:r w:rsidRPr="00FC09D3">
        <w:rPr>
          <w:color w:val="000000"/>
        </w:rPr>
        <w:t xml:space="preserve"> using v-fold cross validation</w:t>
      </w:r>
      <w:r w:rsidR="00B529CE">
        <w:rPr>
          <w:color w:val="000000"/>
        </w:rPr>
        <w:t xml:space="preserve"> (Sherrod, 2003)</w:t>
      </w:r>
      <w:r w:rsidRPr="00FC09D3">
        <w:rPr>
          <w:color w:val="000000"/>
        </w:rPr>
        <w:t>.</w:t>
      </w:r>
      <w:r w:rsidR="00913123">
        <w:rPr>
          <w:color w:val="000000"/>
        </w:rPr>
        <w:t xml:space="preserve"> The final model for each run was selected automatically by maximizing the area under the </w:t>
      </w:r>
      <w:r w:rsidR="00913123" w:rsidRPr="00913123">
        <w:rPr>
          <w:color w:val="000000"/>
        </w:rPr>
        <w:t>Receive Operating Characteristic (ROC) curve</w:t>
      </w:r>
      <w:r w:rsidR="00913123">
        <w:rPr>
          <w:color w:val="000000"/>
        </w:rPr>
        <w:t xml:space="preserve"> (AUC). </w:t>
      </w:r>
      <w:r w:rsidR="00913123" w:rsidRPr="00913123">
        <w:rPr>
          <w:color w:val="000000"/>
        </w:rPr>
        <w:t xml:space="preserve">The closer the </w:t>
      </w:r>
      <w:r w:rsidR="00CB4358">
        <w:rPr>
          <w:color w:val="000000"/>
        </w:rPr>
        <w:t>AUC</w:t>
      </w:r>
      <w:r w:rsidR="00913123" w:rsidRPr="00913123">
        <w:rPr>
          <w:color w:val="000000"/>
        </w:rPr>
        <w:t xml:space="preserve"> is to 1.0, the better the model is</w:t>
      </w:r>
      <w:r w:rsidR="00913123">
        <w:rPr>
          <w:color w:val="000000"/>
        </w:rPr>
        <w:t xml:space="preserve"> considered to be (Sherrod, 2003)</w:t>
      </w:r>
      <w:r w:rsidR="00913123" w:rsidRPr="00913123">
        <w:rPr>
          <w:color w:val="000000"/>
        </w:rPr>
        <w:t>.</w:t>
      </w:r>
      <w:r w:rsidR="00913123">
        <w:rPr>
          <w:color w:val="000000"/>
        </w:rPr>
        <w:t xml:space="preserve"> The misclassification cost was then adjusted iteratively over several model runs, until &gt;80% of positive catches were placed in predicted favorable habitat. </w:t>
      </w:r>
      <w:r w:rsidRPr="00FC09D3">
        <w:rPr>
          <w:color w:val="000000"/>
        </w:rPr>
        <w:t xml:space="preserve">The importance of each predictor variable to the final model was calculated by its importance in splitting data within trees, and was ranked out of a maximum possible score of 100. </w:t>
      </w:r>
    </w:p>
    <w:p w:rsidR="009A087F" w:rsidRPr="009A087F" w:rsidRDefault="00310D5E" w:rsidP="00310D5E">
      <w:pPr>
        <w:spacing w:line="480" w:lineRule="auto"/>
        <w:ind w:firstLine="360"/>
        <w:jc w:val="both"/>
        <w:rPr>
          <w:b/>
          <w:color w:val="FF0000"/>
        </w:rPr>
      </w:pPr>
      <w:r>
        <w:t xml:space="preserve">The error of each model was quantified using probability calibration (Sherrod, 2003). The predicted probability of occurrence </w:t>
      </w:r>
      <w:r w:rsidR="00CC71AC">
        <w:t xml:space="preserve">for each model </w:t>
      </w:r>
      <w:r>
        <w:t>was binned in 10% increments (i.e. 0 – 10% probability of occurrence, 10 – 20% etc), and the predicted and observed proportions of positive samples were compared. For example, if the mean predicted probability of occurrence within the 10 – 20% bin was 0.15, but the observed proportion of positive stations was 0.17, the error for that bin would be 0.02.</w:t>
      </w:r>
      <w:r w:rsidR="00E70E19">
        <w:t xml:space="preserve"> This error was then applied to all predictions from that particular habitat model falling between 10 and 20% probability of occurrence. </w:t>
      </w:r>
      <w:r>
        <w:t xml:space="preserve"> </w:t>
      </w:r>
    </w:p>
    <w:p w:rsidR="003D346F" w:rsidRPr="003D346F" w:rsidRDefault="00AC771E" w:rsidP="00AC771E">
      <w:pPr>
        <w:spacing w:line="480" w:lineRule="auto"/>
        <w:jc w:val="both"/>
        <w:rPr>
          <w:i/>
          <w:color w:val="000000"/>
        </w:rPr>
      </w:pPr>
      <w:r>
        <w:rPr>
          <w:i/>
          <w:color w:val="000000"/>
        </w:rPr>
        <w:t>2.5</w:t>
      </w:r>
      <w:r>
        <w:rPr>
          <w:i/>
          <w:color w:val="000000"/>
        </w:rPr>
        <w:tab/>
      </w:r>
      <w:r w:rsidR="003D346F" w:rsidRPr="003D346F">
        <w:rPr>
          <w:i/>
          <w:color w:val="000000"/>
        </w:rPr>
        <w:t>Past and Future Conditions</w:t>
      </w:r>
    </w:p>
    <w:p w:rsidR="00945C8B" w:rsidRDefault="00180216" w:rsidP="00B73E58">
      <w:pPr>
        <w:spacing w:line="480" w:lineRule="auto"/>
        <w:ind w:firstLine="360"/>
        <w:jc w:val="both"/>
        <w:rPr>
          <w:color w:val="000000"/>
        </w:rPr>
      </w:pPr>
      <w:r>
        <w:rPr>
          <w:color w:val="000000"/>
        </w:rPr>
        <w:t xml:space="preserve">Outputs from two sets of downscaled </w:t>
      </w:r>
      <w:r w:rsidR="00006999">
        <w:rPr>
          <w:color w:val="000000"/>
        </w:rPr>
        <w:t xml:space="preserve">ocean </w:t>
      </w:r>
      <w:r>
        <w:rPr>
          <w:color w:val="000000"/>
        </w:rPr>
        <w:t xml:space="preserve">model experiments were applied to habitat models constructed from present-day data: </w:t>
      </w:r>
      <w:r w:rsidR="00F867A3">
        <w:rPr>
          <w:color w:val="000000"/>
        </w:rPr>
        <w:t>one experiment projected conditions from 200</w:t>
      </w:r>
      <w:r w:rsidR="00F06E0F">
        <w:rPr>
          <w:color w:val="000000"/>
        </w:rPr>
        <w:t>6</w:t>
      </w:r>
      <w:r w:rsidR="00F867A3">
        <w:rPr>
          <w:color w:val="000000"/>
        </w:rPr>
        <w:t xml:space="preserve"> – 2098, and the other </w:t>
      </w:r>
      <w:r w:rsidR="00006999">
        <w:rPr>
          <w:color w:val="000000"/>
        </w:rPr>
        <w:t>reconstructed</w:t>
      </w:r>
      <w:r w:rsidR="00F867A3">
        <w:rPr>
          <w:color w:val="000000"/>
        </w:rPr>
        <w:t xml:space="preserve"> conditions from 1871 – 200</w:t>
      </w:r>
      <w:r w:rsidR="00F06E0F">
        <w:rPr>
          <w:color w:val="000000"/>
        </w:rPr>
        <w:t>5</w:t>
      </w:r>
      <w:r w:rsidR="00F867A3">
        <w:rPr>
          <w:color w:val="000000"/>
        </w:rPr>
        <w:t xml:space="preserve"> (</w:t>
      </w:r>
      <w:r w:rsidR="00E678A1">
        <w:rPr>
          <w:color w:val="000000"/>
        </w:rPr>
        <w:t xml:space="preserve">EXP_4.5, EXP_8.5, EXP_20CR, </w:t>
      </w:r>
      <w:r w:rsidR="00F867A3">
        <w:rPr>
          <w:color w:val="000000"/>
        </w:rPr>
        <w:t>Liu et al., this volume).</w:t>
      </w:r>
      <w:r w:rsidR="00006999">
        <w:rPr>
          <w:color w:val="000000"/>
        </w:rPr>
        <w:t xml:space="preserve"> The </w:t>
      </w:r>
      <w:r w:rsidR="00006999" w:rsidRPr="00006999">
        <w:rPr>
          <w:color w:val="000000"/>
        </w:rPr>
        <w:t xml:space="preserve">Modular Ocean Model version 4.1 (MOM4) </w:t>
      </w:r>
      <w:r w:rsidR="00006999">
        <w:rPr>
          <w:color w:val="000000"/>
        </w:rPr>
        <w:t>(</w:t>
      </w:r>
      <w:r w:rsidR="00006999" w:rsidRPr="00006999">
        <w:rPr>
          <w:color w:val="000000"/>
        </w:rPr>
        <w:t>Griffi</w:t>
      </w:r>
      <w:r w:rsidR="00005AFA">
        <w:rPr>
          <w:color w:val="000000"/>
        </w:rPr>
        <w:t>e</w:t>
      </w:r>
      <w:r w:rsidR="00006999" w:rsidRPr="00006999">
        <w:rPr>
          <w:color w:val="000000"/>
        </w:rPr>
        <w:t xml:space="preserve">s et al., </w:t>
      </w:r>
      <w:r w:rsidR="00006999">
        <w:rPr>
          <w:color w:val="000000"/>
        </w:rPr>
        <w:t>2004; Gnanadesikan et al., 2006)</w:t>
      </w:r>
      <w:r w:rsidR="00006999" w:rsidRPr="00006999">
        <w:rPr>
          <w:color w:val="000000"/>
        </w:rPr>
        <w:t xml:space="preserve"> </w:t>
      </w:r>
      <w:r w:rsidR="00006999">
        <w:rPr>
          <w:color w:val="000000"/>
        </w:rPr>
        <w:t>was</w:t>
      </w:r>
      <w:r w:rsidR="00006999" w:rsidRPr="00006999">
        <w:rPr>
          <w:color w:val="000000"/>
        </w:rPr>
        <w:t xml:space="preserve"> used as the downscaling model. The r</w:t>
      </w:r>
      <w:r w:rsidR="00006999">
        <w:rPr>
          <w:color w:val="000000"/>
        </w:rPr>
        <w:t>egional MOM4 model domain covered</w:t>
      </w:r>
      <w:r w:rsidR="00006999" w:rsidRPr="00006999">
        <w:rPr>
          <w:color w:val="000000"/>
        </w:rPr>
        <w:t xml:space="preserve"> the Atlantic Ocean between 100°W and 20°E bounded north and south by 65°N and 20°S, respectively</w:t>
      </w:r>
      <w:r w:rsidR="00006999">
        <w:rPr>
          <w:color w:val="000000"/>
        </w:rPr>
        <w:t xml:space="preserve">, with a </w:t>
      </w:r>
      <w:r w:rsidR="00006999" w:rsidRPr="00006999">
        <w:rPr>
          <w:color w:val="000000"/>
        </w:rPr>
        <w:t xml:space="preserve">horizontal resolution of 0.1° over the GoM and CBN region </w:t>
      </w:r>
      <w:r w:rsidR="00006999" w:rsidRPr="00006999">
        <w:rPr>
          <w:color w:val="000000"/>
        </w:rPr>
        <w:lastRenderedPageBreak/>
        <w:t xml:space="preserve">from 10°N to 30°N, and from 100°W to 70°W decreasing linearly to 0.25° in the rest of the model domain. </w:t>
      </w:r>
    </w:p>
    <w:p w:rsidR="00006999" w:rsidRDefault="00006999" w:rsidP="00B73E58">
      <w:pPr>
        <w:spacing w:line="480" w:lineRule="auto"/>
        <w:ind w:firstLine="360"/>
        <w:jc w:val="both"/>
        <w:rPr>
          <w:color w:val="000000"/>
        </w:rPr>
      </w:pPr>
      <w:r>
        <w:rPr>
          <w:color w:val="000000"/>
        </w:rPr>
        <w:t xml:space="preserve">The downscaled model of future conditions was driven by surface forcing fields from </w:t>
      </w:r>
      <w:r w:rsidR="00145A86">
        <w:rPr>
          <w:color w:val="000000"/>
        </w:rPr>
        <w:t xml:space="preserve">a set of </w:t>
      </w:r>
      <w:r>
        <w:rPr>
          <w:color w:val="000000"/>
        </w:rPr>
        <w:t xml:space="preserve"> CMIP5 climate models, for three different scenarios: 20</w:t>
      </w:r>
      <w:r w:rsidRPr="00006999">
        <w:rPr>
          <w:color w:val="000000"/>
          <w:vertAlign w:val="superscript"/>
        </w:rPr>
        <w:t>th</w:t>
      </w:r>
      <w:r>
        <w:rPr>
          <w:color w:val="000000"/>
        </w:rPr>
        <w:t xml:space="preserve"> century</w:t>
      </w:r>
      <w:r w:rsidRPr="00006999">
        <w:rPr>
          <w:color w:val="000000"/>
        </w:rPr>
        <w:t>, RCP</w:t>
      </w:r>
      <w:r w:rsidR="00DF56F5">
        <w:rPr>
          <w:color w:val="000000"/>
        </w:rPr>
        <w:t xml:space="preserve"> </w:t>
      </w:r>
      <w:r w:rsidRPr="00006999">
        <w:rPr>
          <w:color w:val="000000"/>
        </w:rPr>
        <w:t xml:space="preserve">4.5 </w:t>
      </w:r>
      <w:r>
        <w:rPr>
          <w:color w:val="000000"/>
        </w:rPr>
        <w:t xml:space="preserve">(medium-low </w:t>
      </w:r>
      <w:r w:rsidR="00F27FC7">
        <w:rPr>
          <w:color w:val="000000"/>
        </w:rPr>
        <w:t xml:space="preserve">future </w:t>
      </w:r>
      <w:r>
        <w:rPr>
          <w:color w:val="000000"/>
        </w:rPr>
        <w:t xml:space="preserve">emission scenario) </w:t>
      </w:r>
      <w:r w:rsidRPr="00006999">
        <w:rPr>
          <w:color w:val="000000"/>
        </w:rPr>
        <w:t>and RCP</w:t>
      </w:r>
      <w:r w:rsidR="00DF56F5">
        <w:rPr>
          <w:color w:val="000000"/>
        </w:rPr>
        <w:t xml:space="preserve"> </w:t>
      </w:r>
      <w:r w:rsidRPr="00006999">
        <w:rPr>
          <w:color w:val="000000"/>
        </w:rPr>
        <w:t>8.5</w:t>
      </w:r>
      <w:r>
        <w:rPr>
          <w:color w:val="000000"/>
        </w:rPr>
        <w:t xml:space="preserve"> (high </w:t>
      </w:r>
      <w:r w:rsidR="00F27FC7">
        <w:rPr>
          <w:color w:val="000000"/>
        </w:rPr>
        <w:t xml:space="preserve">future </w:t>
      </w:r>
      <w:r>
        <w:rPr>
          <w:color w:val="000000"/>
        </w:rPr>
        <w:t xml:space="preserve">emission scenario). </w:t>
      </w:r>
      <w:r w:rsidR="00F27FC7">
        <w:rPr>
          <w:color w:val="000000"/>
        </w:rPr>
        <w:t>A total of 18 CMIP5 models were selected, and each was ranked and weighted based on their ability to replicate observed temperature at 0, 100 and 200m, and Atlantic Meridional Overturning Circulation (AMOC) for the last 30 years of the 20</w:t>
      </w:r>
      <w:r w:rsidR="00F27FC7" w:rsidRPr="00F27FC7">
        <w:rPr>
          <w:color w:val="000000"/>
          <w:vertAlign w:val="superscript"/>
        </w:rPr>
        <w:t>th</w:t>
      </w:r>
      <w:r w:rsidR="00F27FC7">
        <w:rPr>
          <w:color w:val="000000"/>
        </w:rPr>
        <w:t xml:space="preserve"> century (Liu et al., this volume). </w:t>
      </w:r>
      <w:r w:rsidR="00F06E0F">
        <w:rPr>
          <w:color w:val="000000"/>
        </w:rPr>
        <w:t>Biases in surface forcing fields were minimized by computing the difference between late 20</w:t>
      </w:r>
      <w:r w:rsidR="00F06E0F" w:rsidRPr="00F06E0F">
        <w:rPr>
          <w:color w:val="000000"/>
          <w:vertAlign w:val="superscript"/>
        </w:rPr>
        <w:t>th</w:t>
      </w:r>
      <w:r w:rsidR="00F06E0F">
        <w:rPr>
          <w:color w:val="000000"/>
        </w:rPr>
        <w:t xml:space="preserve"> century conditions predicted by the CMIP5 models versus an observed climatology. </w:t>
      </w:r>
    </w:p>
    <w:p w:rsidR="00F06E0F" w:rsidRDefault="00F06E0F" w:rsidP="00F448B6">
      <w:pPr>
        <w:spacing w:line="480" w:lineRule="auto"/>
        <w:ind w:firstLine="360"/>
        <w:jc w:val="both"/>
        <w:rPr>
          <w:color w:val="000000"/>
        </w:rPr>
      </w:pPr>
      <w:r>
        <w:rPr>
          <w:color w:val="000000"/>
        </w:rPr>
        <w:t>The downscaled model of past conditions was driven by surface forcing fields from the 20</w:t>
      </w:r>
      <w:r w:rsidRPr="00F06E0F">
        <w:rPr>
          <w:color w:val="000000"/>
          <w:vertAlign w:val="superscript"/>
        </w:rPr>
        <w:t>th</w:t>
      </w:r>
      <w:r>
        <w:rPr>
          <w:color w:val="000000"/>
        </w:rPr>
        <w:t xml:space="preserve"> Century Reanalysis version 2 (20CR) dataset (Compo et al., 2011). The initial and boundary conditions were </w:t>
      </w:r>
      <w:r w:rsidRPr="00F06E0F">
        <w:rPr>
          <w:color w:val="000000"/>
        </w:rPr>
        <w:t>derived from the Simple Ocean Data Assimilation vers</w:t>
      </w:r>
      <w:r>
        <w:rPr>
          <w:color w:val="000000"/>
        </w:rPr>
        <w:t>ion 2.2.6 (SODA 2.2.6) product (</w:t>
      </w:r>
      <w:r w:rsidRPr="00F06E0F">
        <w:rPr>
          <w:color w:val="000000"/>
        </w:rPr>
        <w:t>Giese and Ray, 2011</w:t>
      </w:r>
      <w:r>
        <w:rPr>
          <w:color w:val="000000"/>
        </w:rPr>
        <w:t xml:space="preserve">), and all input fields were </w:t>
      </w:r>
      <w:r w:rsidRPr="00F06E0F">
        <w:rPr>
          <w:color w:val="000000"/>
        </w:rPr>
        <w:t xml:space="preserve">bias-corrected following the same methodology used for the </w:t>
      </w:r>
      <w:r>
        <w:rPr>
          <w:color w:val="000000"/>
        </w:rPr>
        <w:t>model of future conditions</w:t>
      </w:r>
      <w:r w:rsidRPr="00F06E0F">
        <w:rPr>
          <w:color w:val="000000"/>
        </w:rPr>
        <w:t>. The first 30 years of model outputs were discarded to exclude any potentially spurious spin-up effects.</w:t>
      </w:r>
      <w:r>
        <w:rPr>
          <w:color w:val="000000"/>
        </w:rPr>
        <w:t xml:space="preserve"> Mean temperatures at the surface and at 200m depth were then summarized by season, year and 0.25x0.25 degree latitude-longitude points, and run through the habitat models built using present-day data. This resulted in probabilities of occurrence in space and time for larvae and adults of the two species of interest, from 1900 through to 2090.</w:t>
      </w:r>
      <w:r w:rsidR="00076E48">
        <w:rPr>
          <w:color w:val="000000"/>
        </w:rPr>
        <w:t xml:space="preserve"> Probabilities were kriged and mapped in Surfer 9 (Golden Software), to aid interpretation.</w:t>
      </w:r>
      <w:r>
        <w:rPr>
          <w:color w:val="000000"/>
        </w:rPr>
        <w:t xml:space="preserve"> </w:t>
      </w:r>
    </w:p>
    <w:p w:rsidR="004447C5" w:rsidRDefault="004447C5" w:rsidP="00F448B6">
      <w:pPr>
        <w:spacing w:line="480" w:lineRule="auto"/>
        <w:ind w:firstLine="360"/>
        <w:jc w:val="both"/>
        <w:rPr>
          <w:color w:val="000000"/>
        </w:rPr>
      </w:pPr>
      <w:r>
        <w:rPr>
          <w:color w:val="000000"/>
        </w:rPr>
        <w:t xml:space="preserve">In order to assess the effect of using a downscaled model on predictions of habitat suitability, </w:t>
      </w:r>
      <w:r w:rsidR="005B5F6E">
        <w:rPr>
          <w:color w:val="000000"/>
        </w:rPr>
        <w:t>habitat model predictions</w:t>
      </w:r>
      <w:r>
        <w:rPr>
          <w:color w:val="000000"/>
        </w:rPr>
        <w:t xml:space="preserve"> were compared between </w:t>
      </w:r>
      <w:r w:rsidR="005B5F6E">
        <w:rPr>
          <w:color w:val="000000"/>
        </w:rPr>
        <w:t xml:space="preserve">models run on temperature outputs from the </w:t>
      </w:r>
      <w:r>
        <w:rPr>
          <w:color w:val="000000"/>
        </w:rPr>
        <w:lastRenderedPageBreak/>
        <w:t xml:space="preserve">downscaled </w:t>
      </w:r>
      <w:r w:rsidR="005B5F6E">
        <w:rPr>
          <w:color w:val="000000"/>
        </w:rPr>
        <w:t xml:space="preserve">model, </w:t>
      </w:r>
      <w:r>
        <w:rPr>
          <w:color w:val="000000"/>
        </w:rPr>
        <w:t xml:space="preserve">and coarse resolution </w:t>
      </w:r>
      <w:r w:rsidR="005B5F6E">
        <w:rPr>
          <w:color w:val="000000"/>
        </w:rPr>
        <w:t>temperature projections from global climate models (Liu et al., this volume)</w:t>
      </w:r>
      <w:r>
        <w:rPr>
          <w:color w:val="000000"/>
        </w:rPr>
        <w:t xml:space="preserve">. </w:t>
      </w:r>
      <w:r w:rsidR="005B5F6E">
        <w:rPr>
          <w:color w:val="000000"/>
        </w:rPr>
        <w:t xml:space="preserve">Global climate model outputs were interpolated onto a 1x1° grid, and results were compared between the years 2050 and 2090, for RCP scenarios 4.5 and 8.5. </w:t>
      </w:r>
      <w:r>
        <w:rPr>
          <w:color w:val="000000"/>
        </w:rPr>
        <w:t xml:space="preserve">The habitat model for larval bluefin tuna </w:t>
      </w:r>
      <w:r w:rsidR="005B5F6E">
        <w:rPr>
          <w:color w:val="000000"/>
        </w:rPr>
        <w:t xml:space="preserve">during spring </w:t>
      </w:r>
      <w:r>
        <w:rPr>
          <w:color w:val="000000"/>
        </w:rPr>
        <w:t xml:space="preserve">was used as an example. </w:t>
      </w:r>
    </w:p>
    <w:p w:rsidR="00AE1DBA" w:rsidRDefault="00AE1DBA">
      <w:pPr>
        <w:spacing w:after="200" w:line="276" w:lineRule="auto"/>
        <w:rPr>
          <w:b/>
        </w:rPr>
      </w:pPr>
      <w:r>
        <w:rPr>
          <w:b/>
        </w:rPr>
        <w:br w:type="page"/>
      </w:r>
    </w:p>
    <w:p w:rsidR="001442D9" w:rsidRPr="00AC771E" w:rsidRDefault="001442D9" w:rsidP="00AC771E">
      <w:pPr>
        <w:pStyle w:val="ListParagraph"/>
        <w:numPr>
          <w:ilvl w:val="0"/>
          <w:numId w:val="6"/>
        </w:numPr>
        <w:autoSpaceDE w:val="0"/>
        <w:autoSpaceDN w:val="0"/>
        <w:adjustRightInd w:val="0"/>
        <w:spacing w:line="480" w:lineRule="auto"/>
        <w:ind w:left="0" w:firstLine="0"/>
        <w:jc w:val="both"/>
        <w:rPr>
          <w:b/>
        </w:rPr>
      </w:pPr>
      <w:r w:rsidRPr="00AC771E">
        <w:rPr>
          <w:b/>
        </w:rPr>
        <w:lastRenderedPageBreak/>
        <w:t>Results</w:t>
      </w:r>
    </w:p>
    <w:p w:rsidR="00A52B28" w:rsidRDefault="00AC771E" w:rsidP="00F448B6">
      <w:pPr>
        <w:spacing w:after="200" w:line="480" w:lineRule="auto"/>
        <w:rPr>
          <w:i/>
        </w:rPr>
      </w:pPr>
      <w:r>
        <w:rPr>
          <w:i/>
        </w:rPr>
        <w:t>3.1</w:t>
      </w:r>
      <w:r>
        <w:rPr>
          <w:i/>
        </w:rPr>
        <w:tab/>
      </w:r>
      <w:r w:rsidR="00A52B28" w:rsidRPr="00A52B28">
        <w:rPr>
          <w:i/>
        </w:rPr>
        <w:t>Habitat models</w:t>
      </w:r>
      <w:r w:rsidR="009F6DE3">
        <w:rPr>
          <w:i/>
        </w:rPr>
        <w:t xml:space="preserve"> and environmental variables</w:t>
      </w:r>
    </w:p>
    <w:p w:rsidR="00F427B2" w:rsidRDefault="00F427B2" w:rsidP="00F448B6">
      <w:pPr>
        <w:spacing w:after="200" w:line="480" w:lineRule="auto"/>
      </w:pPr>
      <w:r>
        <w:t>Boosted regression tree models were successfully parameterized for both life stages of both species of interest (Table 1). The model for adult BFT showed the highest ability to distinguish between favorable and unfavorable habitat, with both sensitivity and specificity &gt;80%, while the model for larval SKJ had the lowest (sensitivity of 8</w:t>
      </w:r>
      <w:r w:rsidR="0073490C">
        <w:t>3</w:t>
      </w:r>
      <w:r>
        <w:t>.6% was only achieved if specificity was 4</w:t>
      </w:r>
      <w:r w:rsidR="0073490C">
        <w:t>9.5</w:t>
      </w:r>
      <w:r>
        <w:t xml:space="preserve">%). </w:t>
      </w:r>
      <w:r w:rsidR="0073490C">
        <w:t>T</w:t>
      </w:r>
      <w:r>
        <w:t xml:space="preserve">he </w:t>
      </w:r>
      <w:r w:rsidR="0073490C">
        <w:t>larval</w:t>
      </w:r>
      <w:r>
        <w:t xml:space="preserve"> BFT model lost the most precision between training and validation, suggesting the greatest tendency towards over-fitting.</w:t>
      </w:r>
    </w:p>
    <w:p w:rsidR="00F427B2" w:rsidRDefault="00F427B2" w:rsidP="00F448B6">
      <w:pPr>
        <w:spacing w:after="200" w:line="480" w:lineRule="auto"/>
      </w:pPr>
      <w:r>
        <w:t xml:space="preserve">Surface temperature was of the greatest importance to the adult BFT and larval SKJ models (score of </w:t>
      </w:r>
      <w:r w:rsidR="0073490C">
        <w:t>81.1</w:t>
      </w:r>
      <w:r>
        <w:t xml:space="preserve"> and 100, respectively). Temperature at 200m was of moderate importance to the larval BFT model (score of 5</w:t>
      </w:r>
      <w:r w:rsidR="0073490C">
        <w:t>4.9</w:t>
      </w:r>
      <w:r>
        <w:t>), and of lesser importance to the other models. Water depth was the most influential variable for both adult models. The surface temperature trend was of greater importance to the BFT models than to the SKJ models.</w:t>
      </w:r>
    </w:p>
    <w:p w:rsidR="00CC71AC" w:rsidRDefault="00CC71AC" w:rsidP="00F448B6">
      <w:pPr>
        <w:spacing w:after="200" w:line="480" w:lineRule="auto"/>
      </w:pPr>
      <w:r>
        <w:t>Model errors for all four models tended to increase at higher probabilities of occurrence (Fig. 4)</w:t>
      </w:r>
      <w:r w:rsidR="0073490C">
        <w:t>. Both</w:t>
      </w:r>
      <w:r>
        <w:t xml:space="preserve"> adult and larval SKJ models showed markedly higher errors at warmer (&gt;29°C) temperatures</w:t>
      </w:r>
      <w:r w:rsidR="0073490C">
        <w:t>, while BFT models did not</w:t>
      </w:r>
      <w:r>
        <w:t>.</w:t>
      </w:r>
      <w:r w:rsidR="008939CA">
        <w:t xml:space="preserve"> Model errors were </w:t>
      </w:r>
      <w:r w:rsidR="0073490C">
        <w:t xml:space="preserve">generally </w:t>
      </w:r>
      <w:r w:rsidR="008939CA">
        <w:t xml:space="preserve">higher for larval models than those for adults. </w:t>
      </w:r>
    </w:p>
    <w:p w:rsidR="00A52B28" w:rsidRDefault="00145A86" w:rsidP="00F448B6">
      <w:pPr>
        <w:spacing w:after="200" w:line="480" w:lineRule="auto"/>
      </w:pPr>
      <w:r>
        <w:t>Scatter</w:t>
      </w:r>
      <w:r w:rsidR="00F427B2">
        <w:t xml:space="preserve"> plots of both modeled </w:t>
      </w:r>
      <w:r w:rsidR="00DB631A">
        <w:t>and</w:t>
      </w:r>
      <w:r w:rsidR="00F427B2">
        <w:t xml:space="preserve"> observed probabilities of occurrence against the four predictor variable</w:t>
      </w:r>
      <w:r w:rsidR="003277DA">
        <w:t>s</w:t>
      </w:r>
      <w:r w:rsidR="00F427B2">
        <w:t xml:space="preserve"> highlighted strong differences among species and life stages (Fig. </w:t>
      </w:r>
      <w:r w:rsidR="008939CA">
        <w:t>5</w:t>
      </w:r>
      <w:r w:rsidR="00F427B2">
        <w:t xml:space="preserve">). </w:t>
      </w:r>
      <w:r w:rsidR="003439FC">
        <w:t>While adult SKJ showed a positive response to increasing surface temperature, adult BFT showed a generally negative response</w:t>
      </w:r>
      <w:r w:rsidR="00B77EB9">
        <w:t xml:space="preserve"> if</w:t>
      </w:r>
      <w:r w:rsidR="003439FC">
        <w:t xml:space="preserve"> temperatures </w:t>
      </w:r>
      <w:r w:rsidR="00B77EB9">
        <w:t>exceeded</w:t>
      </w:r>
      <w:r w:rsidR="003439FC">
        <w:t xml:space="preserve"> 24°C.</w:t>
      </w:r>
      <w:r w:rsidR="00F427B2">
        <w:t xml:space="preserve"> </w:t>
      </w:r>
      <w:r w:rsidR="003439FC">
        <w:t>Similar</w:t>
      </w:r>
      <w:r w:rsidR="00442861">
        <w:t>ly</w:t>
      </w:r>
      <w:r w:rsidR="003439FC">
        <w:t xml:space="preserve"> to adult SKJ, larval SKJ were more likely to be encountered in warmer waters. In contrast, larval BFT peaked in abundance between </w:t>
      </w:r>
      <w:r w:rsidR="003439FC">
        <w:lastRenderedPageBreak/>
        <w:t>24 and 28°C, and were rare in waters warmer than 29°C. Model predictions generally match</w:t>
      </w:r>
      <w:r w:rsidR="0073490C">
        <w:t>ed</w:t>
      </w:r>
      <w:r w:rsidR="003439FC">
        <w:t xml:space="preserve"> well with observations, although both SKJ models over-estimated probabilities of occurrence at cooler temperatures.</w:t>
      </w:r>
    </w:p>
    <w:p w:rsidR="003439FC" w:rsidRDefault="003439FC" w:rsidP="00F448B6">
      <w:pPr>
        <w:spacing w:after="200" w:line="480" w:lineRule="auto"/>
      </w:pPr>
      <w:r>
        <w:t xml:space="preserve">Both adult and larval BFT showed a weak, negative relationship with temperature at 200m depth, while </w:t>
      </w:r>
      <w:r w:rsidR="0073490C">
        <w:t>larval</w:t>
      </w:r>
      <w:r>
        <w:t xml:space="preserve"> SKJ </w:t>
      </w:r>
      <w:r w:rsidR="0073490C">
        <w:t xml:space="preserve">showed a slight positive response </w:t>
      </w:r>
      <w:r>
        <w:t xml:space="preserve">(Fig. </w:t>
      </w:r>
      <w:r w:rsidR="008939CA">
        <w:t>5</w:t>
      </w:r>
      <w:r>
        <w:t>). Adult SKJ were most commonly recorded where water depths were between 2000 and 3000m, while adult BFT were most common at deeper depths (up to 6000m). Larval occurrences of both BFT and SKJ decreased where water depths were &gt;3000m</w:t>
      </w:r>
      <w:r w:rsidR="0073490C">
        <w:t>, however b</w:t>
      </w:r>
      <w:r>
        <w:t xml:space="preserve">oth larval models over-predicted probabilities at deeper water depths. The surface temperature trend was more important for BFT than SKJ, with both adult and larval stages more commonly encountered where trends were positive (i.e. during spring). </w:t>
      </w:r>
    </w:p>
    <w:p w:rsidR="00A52B28" w:rsidRDefault="00AC771E" w:rsidP="00F448B6">
      <w:pPr>
        <w:spacing w:after="200" w:line="480" w:lineRule="auto"/>
        <w:rPr>
          <w:i/>
        </w:rPr>
      </w:pPr>
      <w:r>
        <w:rPr>
          <w:i/>
        </w:rPr>
        <w:t>3.2</w:t>
      </w:r>
      <w:r>
        <w:rPr>
          <w:i/>
        </w:rPr>
        <w:tab/>
      </w:r>
      <w:r w:rsidR="003439FC">
        <w:rPr>
          <w:i/>
        </w:rPr>
        <w:t>Temporal c</w:t>
      </w:r>
      <w:r w:rsidR="00A52B28">
        <w:rPr>
          <w:i/>
        </w:rPr>
        <w:t>hanges in habitat suitability</w:t>
      </w:r>
    </w:p>
    <w:p w:rsidR="00A52B28" w:rsidRDefault="00C177C1" w:rsidP="00F448B6">
      <w:pPr>
        <w:spacing w:after="200" w:line="480" w:lineRule="auto"/>
      </w:pPr>
      <w:r>
        <w:t xml:space="preserve">Predicted changes in future temperature conditions from the downscaled climate model resulted in marked effects on predicted habitat suitability for both life stages of BFT and SKJ (Fig. </w:t>
      </w:r>
      <w:r w:rsidR="008939CA">
        <w:t>6</w:t>
      </w:r>
      <w:r>
        <w:t xml:space="preserve">). </w:t>
      </w:r>
      <w:r w:rsidR="00440645">
        <w:t>Habitat extent f</w:t>
      </w:r>
      <w:r w:rsidR="007C2CB8">
        <w:t xml:space="preserve">rom 1900 – 2000, </w:t>
      </w:r>
      <w:r w:rsidR="00440645">
        <w:t xml:space="preserve">as measured by </w:t>
      </w:r>
      <w:r w:rsidR="00DA44EE">
        <w:t>the proportion of spatial grid points where probabilities of occurrence for adult BFT were &gt;0.2</w:t>
      </w:r>
      <w:r w:rsidR="00440645">
        <w:t>,</w:t>
      </w:r>
      <w:r w:rsidR="00DA44EE">
        <w:t xml:space="preserve"> </w:t>
      </w:r>
      <w:r w:rsidR="007C2CB8">
        <w:t xml:space="preserve">was highest in the GoM during winter and spring. Spring </w:t>
      </w:r>
      <w:r w:rsidR="00440645">
        <w:t>habitat extent</w:t>
      </w:r>
      <w:r w:rsidR="007C2CB8">
        <w:t xml:space="preserve"> peaked during the early 20</w:t>
      </w:r>
      <w:r w:rsidR="007C2CB8" w:rsidRPr="007C2CB8">
        <w:rPr>
          <w:vertAlign w:val="superscript"/>
        </w:rPr>
        <w:t>th</w:t>
      </w:r>
      <w:r w:rsidR="007C2CB8">
        <w:t xml:space="preserve"> century, while winter </w:t>
      </w:r>
      <w:r w:rsidR="00440645">
        <w:t>habitat was</w:t>
      </w:r>
      <w:r w:rsidR="00B23865">
        <w:t xml:space="preserve"> highest</w:t>
      </w:r>
      <w:r w:rsidR="007C2CB8">
        <w:t xml:space="preserve"> during the 1960s</w:t>
      </w:r>
      <w:r w:rsidR="00F37CB0">
        <w:t xml:space="preserve"> – 1970s, due to cooler surface temperatures during these time periods</w:t>
      </w:r>
      <w:r w:rsidR="007C2CB8">
        <w:t>.</w:t>
      </w:r>
      <w:r w:rsidR="00B23865">
        <w:t xml:space="preserve"> After 2010, </w:t>
      </w:r>
      <w:r w:rsidR="005844A3">
        <w:t>habitat extent</w:t>
      </w:r>
      <w:r w:rsidR="00B23865">
        <w:t xml:space="preserve"> both winter and spring decreased strongly, with steeper declines apparent under RCP 8.5. </w:t>
      </w:r>
    </w:p>
    <w:p w:rsidR="00B23865" w:rsidRDefault="004816FF" w:rsidP="00F448B6">
      <w:pPr>
        <w:spacing w:after="200" w:line="480" w:lineRule="auto"/>
      </w:pPr>
      <w:r>
        <w:t xml:space="preserve">Impacts of climate change on adult SKJ appeared to be more positive (Fig. </w:t>
      </w:r>
      <w:r w:rsidR="00151D7C">
        <w:t>6</w:t>
      </w:r>
      <w:r>
        <w:t xml:space="preserve">). </w:t>
      </w:r>
      <w:r w:rsidR="005F17F6">
        <w:t>Habitat extent</w:t>
      </w:r>
      <w:r>
        <w:t xml:space="preserve"> in both the G</w:t>
      </w:r>
      <w:r w:rsidR="00D10046">
        <w:t>o</w:t>
      </w:r>
      <w:r>
        <w:t>M and CBN increased throughout the 21</w:t>
      </w:r>
      <w:r w:rsidRPr="004816FF">
        <w:rPr>
          <w:vertAlign w:val="superscript"/>
        </w:rPr>
        <w:t>st</w:t>
      </w:r>
      <w:r>
        <w:t xml:space="preserve"> century, particularly under RCP 8.5. </w:t>
      </w:r>
      <w:r>
        <w:lastRenderedPageBreak/>
        <w:t>Increases were predicted to be strongest in the CBN in spring, summer and fall. All trends were fairly linear between 2000 and 2100, with the exception of the GoM in summer, which showed little change between probabilities of occurrence between 2050 and 2090.</w:t>
      </w:r>
    </w:p>
    <w:p w:rsidR="004816FF" w:rsidRDefault="004816FF" w:rsidP="00F448B6">
      <w:pPr>
        <w:spacing w:after="200" w:line="480" w:lineRule="auto"/>
      </w:pPr>
      <w:r>
        <w:t xml:space="preserve">Similarly to adult BFT, larval BFT were predicted to be negatively affected by future warming (Fig. </w:t>
      </w:r>
      <w:r w:rsidR="00151D7C">
        <w:t>6</w:t>
      </w:r>
      <w:r>
        <w:t xml:space="preserve">). </w:t>
      </w:r>
      <w:r w:rsidR="005F17F6">
        <w:t>Habitat extent was</w:t>
      </w:r>
      <w:r>
        <w:t xml:space="preserve"> </w:t>
      </w:r>
      <w:r w:rsidR="005F17F6">
        <w:t>highest</w:t>
      </w:r>
      <w:r>
        <w:t xml:space="preserve"> in the GoM during spring throughout the 20</w:t>
      </w:r>
      <w:r w:rsidRPr="004816FF">
        <w:rPr>
          <w:vertAlign w:val="superscript"/>
        </w:rPr>
        <w:t>th</w:t>
      </w:r>
      <w:r>
        <w:t xml:space="preserve"> century, </w:t>
      </w:r>
      <w:r w:rsidR="003C1395">
        <w:t>particularly in the 1960s</w:t>
      </w:r>
      <w:r>
        <w:t>. After 20</w:t>
      </w:r>
      <w:r w:rsidR="00151D7C">
        <w:t>0</w:t>
      </w:r>
      <w:r>
        <w:t xml:space="preserve">0, however, </w:t>
      </w:r>
      <w:r w:rsidR="005F17F6">
        <w:t>habitat suitability</w:t>
      </w:r>
      <w:r>
        <w:t xml:space="preserve"> decreased, particularly under RCP 8.5. In contrast, </w:t>
      </w:r>
      <w:r w:rsidR="005F17F6">
        <w:t>habitat extent for larval</w:t>
      </w:r>
      <w:r>
        <w:t xml:space="preserve"> SKJ increa</w:t>
      </w:r>
      <w:r w:rsidR="00535082">
        <w:t xml:space="preserve">sed after 2000, particularly </w:t>
      </w:r>
      <w:r>
        <w:t xml:space="preserve">during summer and fall. </w:t>
      </w:r>
    </w:p>
    <w:p w:rsidR="009F6DE3" w:rsidRPr="009F6DE3" w:rsidRDefault="00AC771E" w:rsidP="00F448B6">
      <w:pPr>
        <w:spacing w:after="200" w:line="480" w:lineRule="auto"/>
        <w:rPr>
          <w:i/>
        </w:rPr>
      </w:pPr>
      <w:r>
        <w:rPr>
          <w:i/>
        </w:rPr>
        <w:t>3.3</w:t>
      </w:r>
      <w:r>
        <w:rPr>
          <w:i/>
        </w:rPr>
        <w:tab/>
      </w:r>
      <w:r w:rsidR="009F6DE3" w:rsidRPr="009F6DE3">
        <w:rPr>
          <w:i/>
        </w:rPr>
        <w:t>Spatial changes in habitat suitability</w:t>
      </w:r>
    </w:p>
    <w:p w:rsidR="00463FC9" w:rsidRDefault="004816FF" w:rsidP="00F448B6">
      <w:pPr>
        <w:spacing w:after="200" w:line="480" w:lineRule="auto"/>
      </w:pPr>
      <w:r>
        <w:t xml:space="preserve"> </w:t>
      </w:r>
      <w:r w:rsidR="001C6810">
        <w:t xml:space="preserve">Habitat models generally predicted distributions of target species with reasonable accuracy, when compared to observed data (Fig. </w:t>
      </w:r>
      <w:r w:rsidR="00151D7C">
        <w:t>7, Fig. 8</w:t>
      </w:r>
      <w:r w:rsidR="001C6810">
        <w:t xml:space="preserve">). </w:t>
      </w:r>
      <w:r w:rsidR="008B51BD">
        <w:t xml:space="preserve">Adult BFT were most common in the GoM and north of the Bahamas in winter and spring, and rare </w:t>
      </w:r>
      <w:r w:rsidR="00151D7C">
        <w:t>elsewhere</w:t>
      </w:r>
      <w:r w:rsidR="008B51BD">
        <w:t xml:space="preserve"> except the far</w:t>
      </w:r>
      <w:r w:rsidR="00151D7C">
        <w:t>thest</w:t>
      </w:r>
      <w:r w:rsidR="008B51BD">
        <w:t xml:space="preserve"> east portion of the study area in summer and fall.</w:t>
      </w:r>
      <w:r w:rsidR="009A087F">
        <w:t xml:space="preserve"> </w:t>
      </w:r>
      <w:r w:rsidR="00463FC9">
        <w:t xml:space="preserve">Larval BFT were only collected in spring, throughout the northern GoM, and also occasionally in the southwest GoM and far western CBN (Fig. 7). By 2090, under RCP 8.5, winter and spring habitat for adult BFT in the GoM was strongly reduced, including during the spring spawning season. However, suitable habitat remained east of the Bahamas in summer and fall. Probabilities of occurrence for larval BFT in the northern GoM during spring were also much lower by 2090 (Fig. 5). </w:t>
      </w:r>
    </w:p>
    <w:p w:rsidR="00463FC9" w:rsidRDefault="00463FC9" w:rsidP="00F448B6">
      <w:pPr>
        <w:spacing w:after="200" w:line="480" w:lineRule="auto"/>
      </w:pPr>
      <w:r>
        <w:t>Under present-day environmental conditions, a</w:t>
      </w:r>
      <w:r w:rsidR="009A087F">
        <w:t>dult SKJ were common along the shelf break in the GoM throughout the year</w:t>
      </w:r>
      <w:r>
        <w:t xml:space="preserve"> (Fig. 8)</w:t>
      </w:r>
      <w:r w:rsidR="009A087F">
        <w:t>. Effort in the CBN was low, but some catches were recorded in this region in all seasons.</w:t>
      </w:r>
      <w:r>
        <w:t xml:space="preserve"> </w:t>
      </w:r>
      <w:r w:rsidR="009A087F">
        <w:t xml:space="preserve">SKJ larvae were rare in winter, but found at most sampled locations in the GoM in spring and summer. Limited collections in the CBN during spring also </w:t>
      </w:r>
      <w:r>
        <w:lastRenderedPageBreak/>
        <w:t>recorded</w:t>
      </w:r>
      <w:r w:rsidR="009A087F">
        <w:t xml:space="preserve"> SKJ larvae, suggest</w:t>
      </w:r>
      <w:r w:rsidR="00D10046">
        <w:t>ing</w:t>
      </w:r>
      <w:r w:rsidR="009A087F">
        <w:t xml:space="preserve"> that spawning is spatiotemporally widespread (Fig. </w:t>
      </w:r>
      <w:r>
        <w:t>8</w:t>
      </w:r>
      <w:r w:rsidR="009A087F">
        <w:t>).</w:t>
      </w:r>
      <w:r>
        <w:t xml:space="preserve"> Ocean warming by 2090, under RCP 8.5, resulted in a general expansion of adult SKJ habitat in all seasons, particularly in the CBN. Predicted probabilities of larval SKJ occurrence also increased throughout the region (Fig. 8).</w:t>
      </w:r>
    </w:p>
    <w:p w:rsidR="006406B7" w:rsidRDefault="00DA47D7" w:rsidP="00F448B6">
      <w:pPr>
        <w:spacing w:after="200" w:line="480" w:lineRule="auto"/>
      </w:pPr>
      <w:r>
        <w:t xml:space="preserve">Model errors for adult BFT were generally low, reaching around 5% in regions of higher occurrence during the present day (Fig. 9). Under RCP 8.5, model errors decreased in the GoM, due to higher levels of certainty regarding responses to warm waters, but increased east of the Bahamas. Slightly higher probabilities of occurrence south of Cuba (Fig. 7) were also associated with higher errors. Model errors for larval BFT were fairly low </w:t>
      </w:r>
      <w:r w:rsidR="00442861">
        <w:t xml:space="preserve">in general </w:t>
      </w:r>
      <w:r w:rsidR="00D10046">
        <w:t>(</w:t>
      </w:r>
      <w:r>
        <w:t>5 – 6%</w:t>
      </w:r>
      <w:r w:rsidR="00D10046">
        <w:t>)</w:t>
      </w:r>
      <w:r>
        <w:t>, and constant across the study area, except in the northern GoM during present day spring.</w:t>
      </w:r>
      <w:r w:rsidR="006406B7">
        <w:t xml:space="preserve"> In general, reductions in both larval and adult BFT on the northern GoM spawning grounds were associated with low model errors (&lt;5%).</w:t>
      </w:r>
    </w:p>
    <w:p w:rsidR="002A008E" w:rsidRDefault="006406B7" w:rsidP="00AE1DBA">
      <w:pPr>
        <w:spacing w:after="200" w:line="480" w:lineRule="auto"/>
      </w:pPr>
      <w:r>
        <w:t xml:space="preserve">Errors for SKJ models were generally higher than for BFT (Fig. 10). The predicted increase in adult habitat in the CBN by 2090 was associated with error rates </w:t>
      </w:r>
      <w:r w:rsidR="00D10046">
        <w:t>of &gt;10</w:t>
      </w:r>
      <w:r>
        <w:t>%. The larval SKJ model showed the highest rates of uncertainty, particularly in regions where habitat suitability was predicted to increase. In contrast, present-day favorable habitat in the GoM during spring was associated with lower</w:t>
      </w:r>
      <w:r w:rsidR="00A618FD">
        <w:t xml:space="preserve"> model</w:t>
      </w:r>
      <w:r>
        <w:t xml:space="preserve"> errors.  </w:t>
      </w:r>
      <w:r w:rsidR="00DA47D7">
        <w:t xml:space="preserve"> </w:t>
      </w:r>
    </w:p>
    <w:p w:rsidR="0089673F" w:rsidRPr="0089673F" w:rsidRDefault="00AC771E" w:rsidP="00AE1DBA">
      <w:pPr>
        <w:spacing w:after="200" w:line="480" w:lineRule="auto"/>
        <w:rPr>
          <w:i/>
        </w:rPr>
      </w:pPr>
      <w:r>
        <w:rPr>
          <w:i/>
        </w:rPr>
        <w:t>3.4</w:t>
      </w:r>
      <w:r>
        <w:rPr>
          <w:i/>
        </w:rPr>
        <w:tab/>
      </w:r>
      <w:r w:rsidR="00AC2B4C">
        <w:rPr>
          <w:i/>
        </w:rPr>
        <w:t>Habitat model c</w:t>
      </w:r>
      <w:r w:rsidR="0089673F" w:rsidRPr="0089673F">
        <w:rPr>
          <w:i/>
        </w:rPr>
        <w:t xml:space="preserve">omparison </w:t>
      </w:r>
      <w:r w:rsidR="00AC2B4C">
        <w:rPr>
          <w:i/>
        </w:rPr>
        <w:t>using downscaled vs.</w:t>
      </w:r>
      <w:r w:rsidR="0089673F" w:rsidRPr="0089673F">
        <w:rPr>
          <w:i/>
        </w:rPr>
        <w:t xml:space="preserve"> </w:t>
      </w:r>
      <w:r w:rsidR="00AC2B4C">
        <w:rPr>
          <w:i/>
        </w:rPr>
        <w:t>low resolution climate models</w:t>
      </w:r>
    </w:p>
    <w:p w:rsidR="00EC034B" w:rsidRPr="0089673F" w:rsidRDefault="0089673F" w:rsidP="0089673F">
      <w:pPr>
        <w:spacing w:after="200" w:line="480" w:lineRule="auto"/>
      </w:pPr>
      <w:r w:rsidRPr="0089673F">
        <w:t xml:space="preserve">Predicted probabilities of occurrence for </w:t>
      </w:r>
      <w:r>
        <w:t xml:space="preserve">larval bluefin tuna in spring </w:t>
      </w:r>
      <w:r w:rsidR="009B2714">
        <w:t>were consistently</w:t>
      </w:r>
      <w:r w:rsidR="00536C92">
        <w:t xml:space="preserve"> slightly</w:t>
      </w:r>
      <w:r w:rsidR="009B2714">
        <w:t xml:space="preserve"> more favorable when temperatures were sourced from the downscaled climate model, as opposed to the low resolution global climate models (Fig. 11). </w:t>
      </w:r>
      <w:r w:rsidR="00536C92">
        <w:t xml:space="preserve">Differences were more pronounced for 2090 than they were for 2050. </w:t>
      </w:r>
      <w:r w:rsidR="009B2714">
        <w:t>P</w:t>
      </w:r>
      <w:r>
        <w:t xml:space="preserve">redicted </w:t>
      </w:r>
      <w:r w:rsidR="009B2714">
        <w:t xml:space="preserve">habitat </w:t>
      </w:r>
      <w:r>
        <w:t>suitab</w:t>
      </w:r>
      <w:r w:rsidR="009B2714">
        <w:t>i</w:t>
      </w:r>
      <w:r>
        <w:t>l</w:t>
      </w:r>
      <w:r w:rsidR="009B2714">
        <w:t xml:space="preserve">ity in the northern GoM </w:t>
      </w:r>
      <w:r w:rsidR="00536C92">
        <w:t xml:space="preserve">by 2090 </w:t>
      </w:r>
      <w:r w:rsidR="009B2714">
        <w:t xml:space="preserve">was </w:t>
      </w:r>
      <w:r w:rsidR="00536C92">
        <w:t xml:space="preserve">low </w:t>
      </w:r>
      <w:r w:rsidR="00536C92">
        <w:lastRenderedPageBreak/>
        <w:t xml:space="preserve">for all models considered, with the downscaled model under RCP 4.5 the most favorable, and the low resolution model under RCP 8.5 the least favorable </w:t>
      </w:r>
      <w:r>
        <w:t xml:space="preserve">(Fig. 11). </w:t>
      </w:r>
      <w:r w:rsidR="00EC034B" w:rsidRPr="0089673F">
        <w:br w:type="page"/>
      </w:r>
    </w:p>
    <w:p w:rsidR="001442D9" w:rsidRDefault="00AC771E" w:rsidP="00AC771E">
      <w:pPr>
        <w:autoSpaceDE w:val="0"/>
        <w:autoSpaceDN w:val="0"/>
        <w:adjustRightInd w:val="0"/>
        <w:spacing w:line="480" w:lineRule="auto"/>
        <w:jc w:val="both"/>
        <w:rPr>
          <w:b/>
        </w:rPr>
      </w:pPr>
      <w:r>
        <w:rPr>
          <w:b/>
        </w:rPr>
        <w:lastRenderedPageBreak/>
        <w:t>4.</w:t>
      </w:r>
      <w:r>
        <w:rPr>
          <w:b/>
        </w:rPr>
        <w:tab/>
      </w:r>
      <w:r w:rsidR="001442D9">
        <w:rPr>
          <w:b/>
        </w:rPr>
        <w:t>Discussion</w:t>
      </w:r>
    </w:p>
    <w:p w:rsidR="00BF1B95" w:rsidRDefault="003C4E14" w:rsidP="004D0C76">
      <w:pPr>
        <w:autoSpaceDE w:val="0"/>
        <w:autoSpaceDN w:val="0"/>
        <w:adjustRightInd w:val="0"/>
        <w:spacing w:line="480" w:lineRule="auto"/>
        <w:ind w:firstLine="360"/>
        <w:jc w:val="both"/>
      </w:pPr>
      <w:r>
        <w:t>Results from this study suggest that larval and adult occurrences of BFT and SKJ can be fairly well predicted in the GoM and CBM using a combination of water temperature and depth.</w:t>
      </w:r>
      <w:r w:rsidR="00C562B4">
        <w:t xml:space="preserve"> Adult BFT were rarely encountered during warmer months, except for to the east of the Bahamas in cooler waters, while adult SKJ became more abundant from spring through to fall.</w:t>
      </w:r>
      <w:r w:rsidR="00BF1B95">
        <w:t xml:space="preserve"> Occurrences of both BFT and SKJ larvae increased</w:t>
      </w:r>
      <w:r w:rsidR="00C562B4">
        <w:t xml:space="preserve"> as temperatures </w:t>
      </w:r>
      <w:r w:rsidR="00BF1B95">
        <w:t>warmed</w:t>
      </w:r>
      <w:r w:rsidR="00C562B4">
        <w:t xml:space="preserve"> seasonally during spring</w:t>
      </w:r>
      <w:r w:rsidR="00BF1B95">
        <w:t xml:space="preserve">, but while BFT larvae collections decreased at surface temperatures above 26°C, SKJ larvae were most abundant in waters warmer than 29°C. Spawning patterns for BFT were more typical of a temperate species, with a spatiotemporally restricted spawning window focused on the northern GoM during spring. In contrast, SKJ spawned across much of the year, and larvae were collected throughout the study region. </w:t>
      </w:r>
    </w:p>
    <w:p w:rsidR="00BF1B95" w:rsidRDefault="00BF1B95" w:rsidP="004D0C76">
      <w:pPr>
        <w:autoSpaceDE w:val="0"/>
        <w:autoSpaceDN w:val="0"/>
        <w:adjustRightInd w:val="0"/>
        <w:spacing w:line="480" w:lineRule="auto"/>
        <w:ind w:firstLine="360"/>
        <w:jc w:val="both"/>
      </w:pPr>
      <w:r>
        <w:t xml:space="preserve">Predicted effects of climate change were also distinct among the two species considered. Warming waters resulted in strongly decreased habitat </w:t>
      </w:r>
      <w:r w:rsidR="00A42102">
        <w:t>extent</w:t>
      </w:r>
      <w:r>
        <w:t xml:space="preserve"> for adult and larval BFT, with the major spawning ground in the GoM predicted to become highly unsuitable for either life stage by 2090, under RCP 8.5 (the most extreme scenario). Under RCP 4.5, declines in suitable habitat were </w:t>
      </w:r>
      <w:r w:rsidR="00A42102">
        <w:t>slower;</w:t>
      </w:r>
      <w:r>
        <w:t xml:space="preserve"> however the overall trend remained negative. Conversely, effects of warming waters on SKJ </w:t>
      </w:r>
      <w:r w:rsidR="00A42102">
        <w:t xml:space="preserve">were generally positive, with a predicted expansion of both adult and larval habitat through to 2090. However, habitat model errors for both adult and larval SKJ were greatest at warmer temperatures, suggesting a high degree of uncertainty with these predictions. </w:t>
      </w:r>
    </w:p>
    <w:p w:rsidR="009103B2" w:rsidRDefault="00A42102" w:rsidP="004D0C76">
      <w:pPr>
        <w:autoSpaceDE w:val="0"/>
        <w:autoSpaceDN w:val="0"/>
        <w:adjustRightInd w:val="0"/>
        <w:spacing w:line="480" w:lineRule="auto"/>
        <w:ind w:firstLine="360"/>
        <w:jc w:val="both"/>
      </w:pPr>
      <w:r>
        <w:t xml:space="preserve">The lack of knowledge on relationships between environmental conditions, physiology and behavior in highly migratory fish species compounds this uncertainty. The general avoidance of warm water masses by adult BFT is fairly well documented (e.g. Teo et al., 2007), and is presumed to be related to temperature limits on cardiac capacity, resulting from their unique </w:t>
      </w:r>
      <w:r>
        <w:lastRenderedPageBreak/>
        <w:t xml:space="preserve">physiology (Blank et al., 2004). In contrast, much less is known about upper thermal tolerances of tropical tunas. </w:t>
      </w:r>
      <w:r w:rsidR="00527A2B">
        <w:t xml:space="preserve">Dizon et al., 1977 examined captive SKJ, and suggested an upper temperature limit of 33°C. </w:t>
      </w:r>
      <w:r w:rsidR="00131B13">
        <w:t xml:space="preserve">However, results such as these are difficult to apply to wild fish. </w:t>
      </w:r>
      <w:r w:rsidR="0043621C">
        <w:t xml:space="preserve">Many published temperature “limits” inferred from observed distributions of tuna species use primarily or exclusively surface temperatures, largely because of its accessibility (e.g., Collette &amp; Nauen, 1983; Boyce et al., 2008). </w:t>
      </w:r>
      <w:r w:rsidR="001F6AB7">
        <w:t xml:space="preserve">This overlooks the ability of these species to utilize pelagic habitats in three dimensions. SKJ in the Pacific </w:t>
      </w:r>
      <w:r w:rsidR="008C5A20">
        <w:t xml:space="preserve">have been shown to dive to several hundred meters depth during the day (Schaefer &amp; Fuller, 2007), and larger tunas such as BFT and yellowfin tuna dive even deeper (Block et al., 2005; Dagorn et al., 2006). </w:t>
      </w:r>
      <w:r w:rsidR="00EF7AB1">
        <w:t>The actual temperatures experienced by fish in any geographic location may therefore differ substantially from temperature at the surface. In addition, oxygen concentrations are strongly influential in determining temperature tolerances (Barkley et al., 1978; Blank et al., 2004), leading to altered diving behaviors and thermo-regulatory capacities in regions with shallow anoxic layers (</w:t>
      </w:r>
      <w:r w:rsidR="007E5C3D">
        <w:t>Prince &amp;</w:t>
      </w:r>
      <w:r w:rsidR="00EF7AB1">
        <w:t xml:space="preserve"> Goodyear, 2006). Lastly, the size of most tunas and some billfishes determines their thermal tolerances, with smaller fish generally more tolerant of warm waters, and less tolerant of cold (Barkley et al., 1978; </w:t>
      </w:r>
      <w:r w:rsidR="007E5C3D">
        <w:t xml:space="preserve">Brill, 1994; </w:t>
      </w:r>
      <w:r w:rsidR="00EF7AB1">
        <w:t>Boyce et al., 2008)</w:t>
      </w:r>
      <w:r w:rsidR="009103B2">
        <w:t>. These factors, combined with complex heat-conserving mechanisms in tunas, make it difficult to ascertain exactly how stressful locations with particular temperature characteristics will be (Carey &amp; Teal., 1969; Jusup et al., 2011).</w:t>
      </w:r>
      <w:r w:rsidR="007D7891">
        <w:t xml:space="preserve"> As a result, predictions of thermal tolerances and climate change impacts tend to vary widely across different studies, even where the same species is considered (e.g. Dueri et al., 2014; Robinson et al., 2014; this study). </w:t>
      </w:r>
    </w:p>
    <w:p w:rsidR="003D7D42" w:rsidRDefault="003D7D42" w:rsidP="004D0C76">
      <w:pPr>
        <w:autoSpaceDE w:val="0"/>
        <w:autoSpaceDN w:val="0"/>
        <w:adjustRightInd w:val="0"/>
        <w:spacing w:line="480" w:lineRule="auto"/>
        <w:ind w:firstLine="360"/>
        <w:jc w:val="both"/>
      </w:pPr>
      <w:r>
        <w:t xml:space="preserve">Although a great deal of uncertainty exists regarding climate change impacts on tunas, </w:t>
      </w:r>
      <w:r w:rsidR="00FF0D08">
        <w:t xml:space="preserve">present-day studies demonstrate the high importance of temperature to multiple processes across </w:t>
      </w:r>
      <w:r w:rsidR="00960CBA">
        <w:lastRenderedPageBreak/>
        <w:t xml:space="preserve">all </w:t>
      </w:r>
      <w:r w:rsidR="00FF0D08">
        <w:t xml:space="preserve">life stages. Ambient temperatures influence </w:t>
      </w:r>
      <w:r w:rsidR="00D61029">
        <w:t xml:space="preserve">spawning activity (Medina et al., 2002; Marguiles et al., 2007), </w:t>
      </w:r>
      <w:r w:rsidR="00FF0D08">
        <w:t>egg hatching times and larval development (Wexler et al., 2011; Gordoa &amp; Carreras, 2014)</w:t>
      </w:r>
      <w:r w:rsidR="00960CBA">
        <w:t xml:space="preserve">, </w:t>
      </w:r>
      <w:r w:rsidR="00D61029">
        <w:t xml:space="preserve">larval growth (Garcia et al., 2013), </w:t>
      </w:r>
      <w:r w:rsidR="00960CBA">
        <w:t>cardiac function (Blank et al., 2002, 2004), swimming speed</w:t>
      </w:r>
      <w:r w:rsidR="00D61029">
        <w:t>s</w:t>
      </w:r>
      <w:r w:rsidR="00960CBA">
        <w:t xml:space="preserve"> (Dizon et al., 1977)</w:t>
      </w:r>
      <w:r w:rsidR="00306540">
        <w:t>, abundance of prey species (Trenkel et al., 2014)</w:t>
      </w:r>
      <w:r w:rsidR="00D61029">
        <w:t xml:space="preserve"> and, potentially, migratory behaviors (Fromentin et al., 201</w:t>
      </w:r>
      <w:r w:rsidR="004202AB">
        <w:t>4</w:t>
      </w:r>
      <w:r w:rsidR="00D61029">
        <w:t>).</w:t>
      </w:r>
      <w:r w:rsidR="00364543">
        <w:t xml:space="preserve"> The effects of climate change on these species, although complex and difficult to predict, are therefore likely to be significant. </w:t>
      </w:r>
    </w:p>
    <w:p w:rsidR="006633F7" w:rsidRPr="0020428B" w:rsidRDefault="001C1710" w:rsidP="004D0C76">
      <w:pPr>
        <w:autoSpaceDE w:val="0"/>
        <w:autoSpaceDN w:val="0"/>
        <w:adjustRightInd w:val="0"/>
        <w:spacing w:line="480" w:lineRule="auto"/>
        <w:ind w:firstLine="360"/>
        <w:jc w:val="both"/>
      </w:pPr>
      <w:r>
        <w:t xml:space="preserve">An additional source of </w:t>
      </w:r>
      <w:r w:rsidR="00B2545B">
        <w:t>error</w:t>
      </w:r>
      <w:r>
        <w:t xml:space="preserve"> </w:t>
      </w:r>
      <w:r w:rsidR="006633F7">
        <w:t>with predicting climate impacts on marine species is</w:t>
      </w:r>
      <w:r>
        <w:t xml:space="preserve"> with the spatial resolution of global climate models. These models are generally too coarse to represent regional current systems, including the Caribbean Current and Loop Current in the IAS (Liu et al., this volume). </w:t>
      </w:r>
      <w:r w:rsidR="006633F7">
        <w:t xml:space="preserve">A high resolution downscaled model for the IAS suggests a general weakening of this regional current system, which is likely to slow future warming in the northern GoM. This spatial heterogeneity is of direct relevance to the use of the GoM by temperature-sensitive fish species, such as tunas, and highlights the usefulness of developing regional climate models. Muhling et al. (2011) </w:t>
      </w:r>
      <w:r w:rsidR="00D92DBF">
        <w:t>examined</w:t>
      </w:r>
      <w:r w:rsidR="006633F7">
        <w:t xml:space="preserve"> habitat loss for larval BFT in the GoM using coarse resolution IPCC CMIP3 models, and </w:t>
      </w:r>
      <w:r w:rsidR="00D92DBF">
        <w:t>predicted</w:t>
      </w:r>
      <w:r w:rsidR="006633F7">
        <w:t xml:space="preserve"> </w:t>
      </w:r>
      <w:r w:rsidR="00D92DBF">
        <w:t>very low</w:t>
      </w:r>
      <w:r w:rsidR="006633F7">
        <w:t xml:space="preserve"> habitat suitability in spring by 2090. </w:t>
      </w:r>
      <w:r w:rsidR="006633F7" w:rsidRPr="0020428B">
        <w:t xml:space="preserve">While results from this study also </w:t>
      </w:r>
      <w:r w:rsidR="0020428B">
        <w:t>showed</w:t>
      </w:r>
      <w:r w:rsidR="006633F7" w:rsidRPr="0020428B">
        <w:t xml:space="preserve"> a significant decline in larval BFT habitat through</w:t>
      </w:r>
      <w:r w:rsidR="00D92DBF" w:rsidRPr="0020428B">
        <w:t xml:space="preserve"> to 2090, the decrease wa</w:t>
      </w:r>
      <w:r w:rsidR="006633F7" w:rsidRPr="0020428B">
        <w:t>s somewhat less severe</w:t>
      </w:r>
      <w:r w:rsidR="0020428B" w:rsidRPr="0020428B">
        <w:t xml:space="preserve"> for the downscaled model vs. the global climate model ensemble</w:t>
      </w:r>
      <w:r w:rsidR="006633F7" w:rsidRPr="0020428B">
        <w:t xml:space="preserve">, due to the slower rate of warming predicted by the downscaled model. </w:t>
      </w:r>
    </w:p>
    <w:p w:rsidR="0019424A" w:rsidRDefault="006633F7" w:rsidP="004D0C76">
      <w:pPr>
        <w:autoSpaceDE w:val="0"/>
        <w:autoSpaceDN w:val="0"/>
        <w:adjustRightInd w:val="0"/>
        <w:spacing w:line="480" w:lineRule="auto"/>
        <w:ind w:firstLine="360"/>
        <w:jc w:val="both"/>
      </w:pPr>
      <w:r>
        <w:t xml:space="preserve">Another advantage to </w:t>
      </w:r>
      <w:r w:rsidR="001A4657">
        <w:t xml:space="preserve">the use of regional models in </w:t>
      </w:r>
      <w:r>
        <w:t>this study was the availability of the 20</w:t>
      </w:r>
      <w:r w:rsidRPr="006633F7">
        <w:rPr>
          <w:vertAlign w:val="superscript"/>
        </w:rPr>
        <w:t>th</w:t>
      </w:r>
      <w:r>
        <w:t xml:space="preserve"> century experiments. These allowed us to place predicted </w:t>
      </w:r>
      <w:r w:rsidR="001A4657">
        <w:t xml:space="preserve">future </w:t>
      </w:r>
      <w:r>
        <w:t>habitat changes into the context of past natural variability, and to consider the potential effect</w:t>
      </w:r>
      <w:r w:rsidR="001A4657">
        <w:t>s</w:t>
      </w:r>
      <w:r>
        <w:t xml:space="preserve"> of natural variability o</w:t>
      </w:r>
      <w:r w:rsidR="001A4657">
        <w:t>n</w:t>
      </w:r>
      <w:r>
        <w:t xml:space="preserve"> habitat fluctuations </w:t>
      </w:r>
      <w:r w:rsidR="001A4657">
        <w:t>with climate change</w:t>
      </w:r>
      <w:r>
        <w:t>.</w:t>
      </w:r>
      <w:r w:rsidR="001A4657">
        <w:t xml:space="preserve"> Results </w:t>
      </w:r>
      <w:r w:rsidR="00241E8C">
        <w:t>indicated</w:t>
      </w:r>
      <w:r w:rsidR="001A4657">
        <w:t xml:space="preserve"> that future changes in environmental </w:t>
      </w:r>
      <w:r w:rsidR="001A4657">
        <w:lastRenderedPageBreak/>
        <w:t>conditions will quickly surpass those experienced within the 20</w:t>
      </w:r>
      <w:r w:rsidR="001A4657" w:rsidRPr="001A4657">
        <w:rPr>
          <w:vertAlign w:val="superscript"/>
        </w:rPr>
        <w:t>th</w:t>
      </w:r>
      <w:r w:rsidR="001A4657">
        <w:t xml:space="preserve"> century, and lead to changes in habitat suitability for both BFT and SKJ</w:t>
      </w:r>
      <w:r w:rsidR="0019424A" w:rsidRPr="0019424A">
        <w:t xml:space="preserve"> </w:t>
      </w:r>
      <w:r w:rsidR="0019424A">
        <w:t>which are unprecedented within the last 100 years</w:t>
      </w:r>
      <w:r w:rsidR="001A4657">
        <w:t>.</w:t>
      </w:r>
    </w:p>
    <w:p w:rsidR="00364543" w:rsidRDefault="006633F7" w:rsidP="004D0C76">
      <w:pPr>
        <w:autoSpaceDE w:val="0"/>
        <w:autoSpaceDN w:val="0"/>
        <w:adjustRightInd w:val="0"/>
        <w:spacing w:line="480" w:lineRule="auto"/>
        <w:ind w:firstLine="360"/>
        <w:jc w:val="both"/>
      </w:pPr>
      <w:r>
        <w:t xml:space="preserve"> </w:t>
      </w:r>
      <w:r w:rsidR="00B2545B">
        <w:t xml:space="preserve">In conclusion, </w:t>
      </w:r>
      <w:r w:rsidR="00241E8C">
        <w:t xml:space="preserve">results from this study suggested that climate change impacts on BFT and SKJ in the IAS will be significant but distinct. Strong habitat loss for both adult and larval BFT </w:t>
      </w:r>
      <w:r w:rsidR="003471E6">
        <w:t>wa</w:t>
      </w:r>
      <w:r w:rsidR="00241E8C">
        <w:t xml:space="preserve">s predicted for the main spawning ground in the northern GoM as temperatures warm, while </w:t>
      </w:r>
      <w:r w:rsidR="003471E6">
        <w:t xml:space="preserve">SKJ showed increasing habitat suitability throughout much of the study area. Despite multiple uncertainties in the modeling process, resulting from model inputs, fish physiology and life history traits, </w:t>
      </w:r>
      <w:r w:rsidR="005C1136">
        <w:t xml:space="preserve">this field of study </w:t>
      </w:r>
      <w:r w:rsidR="00101AC1">
        <w:t>continues to be</w:t>
      </w:r>
      <w:r w:rsidR="005C1136">
        <w:t xml:space="preserve"> of significant importance to fisheries management and species conservation. Future work should </w:t>
      </w:r>
      <w:r w:rsidR="00614431">
        <w:t xml:space="preserve">therefore </w:t>
      </w:r>
      <w:r w:rsidR="005C1136">
        <w:t xml:space="preserve">continue to </w:t>
      </w:r>
      <w:r w:rsidR="00614431">
        <w:t xml:space="preserve">update hypotheses, identify knowledge gaps, and address major sources of uncertainty and error. </w:t>
      </w:r>
      <w:r w:rsidR="005C1136">
        <w:t xml:space="preserve"> </w:t>
      </w:r>
    </w:p>
    <w:p w:rsidR="0043621C" w:rsidRDefault="009103B2" w:rsidP="004D0C76">
      <w:pPr>
        <w:autoSpaceDE w:val="0"/>
        <w:autoSpaceDN w:val="0"/>
        <w:adjustRightInd w:val="0"/>
        <w:spacing w:line="480" w:lineRule="auto"/>
        <w:ind w:firstLine="360"/>
        <w:jc w:val="both"/>
      </w:pPr>
      <w:r>
        <w:t xml:space="preserve"> </w:t>
      </w:r>
      <w:r w:rsidR="00EF7AB1">
        <w:t xml:space="preserve">  </w:t>
      </w:r>
      <w:r w:rsidR="008C5A20">
        <w:t xml:space="preserve"> </w:t>
      </w:r>
      <w:r w:rsidR="0043621C">
        <w:t xml:space="preserve">  </w:t>
      </w:r>
    </w:p>
    <w:p w:rsidR="0043621C" w:rsidRDefault="0043621C" w:rsidP="004D0C76">
      <w:pPr>
        <w:autoSpaceDE w:val="0"/>
        <w:autoSpaceDN w:val="0"/>
        <w:adjustRightInd w:val="0"/>
        <w:spacing w:line="480" w:lineRule="auto"/>
        <w:ind w:firstLine="360"/>
        <w:jc w:val="both"/>
      </w:pPr>
    </w:p>
    <w:p w:rsidR="00BF1B95" w:rsidRDefault="00BF1B95" w:rsidP="004D0C76">
      <w:pPr>
        <w:autoSpaceDE w:val="0"/>
        <w:autoSpaceDN w:val="0"/>
        <w:adjustRightInd w:val="0"/>
        <w:spacing w:line="480" w:lineRule="auto"/>
        <w:ind w:firstLine="360"/>
        <w:jc w:val="both"/>
      </w:pPr>
    </w:p>
    <w:p w:rsidR="00D63181" w:rsidRDefault="00D63181" w:rsidP="00D63181">
      <w:pPr>
        <w:autoSpaceDE w:val="0"/>
        <w:autoSpaceDN w:val="0"/>
        <w:adjustRightInd w:val="0"/>
        <w:spacing w:line="480" w:lineRule="auto"/>
        <w:jc w:val="both"/>
      </w:pPr>
    </w:p>
    <w:p w:rsidR="003066BF" w:rsidRDefault="003066BF" w:rsidP="003066BF">
      <w:pPr>
        <w:autoSpaceDE w:val="0"/>
        <w:autoSpaceDN w:val="0"/>
        <w:adjustRightInd w:val="0"/>
        <w:jc w:val="both"/>
      </w:pPr>
    </w:p>
    <w:p w:rsidR="006F0B2B" w:rsidRPr="004D2498" w:rsidRDefault="006F0B2B" w:rsidP="006F0B2B">
      <w:pPr>
        <w:autoSpaceDE w:val="0"/>
        <w:autoSpaceDN w:val="0"/>
        <w:adjustRightInd w:val="0"/>
        <w:jc w:val="both"/>
      </w:pPr>
    </w:p>
    <w:p w:rsidR="001442D9" w:rsidRDefault="001442D9" w:rsidP="007009E5">
      <w:pPr>
        <w:rPr>
          <w:b/>
        </w:rPr>
      </w:pPr>
      <w:r>
        <w:rPr>
          <w:b/>
        </w:rPr>
        <w:br w:type="page"/>
      </w:r>
    </w:p>
    <w:p w:rsidR="001442D9" w:rsidRDefault="00AC771E" w:rsidP="00801846">
      <w:pPr>
        <w:autoSpaceDE w:val="0"/>
        <w:autoSpaceDN w:val="0"/>
        <w:adjustRightInd w:val="0"/>
        <w:spacing w:line="480" w:lineRule="auto"/>
        <w:jc w:val="both"/>
        <w:rPr>
          <w:b/>
        </w:rPr>
      </w:pPr>
      <w:r>
        <w:rPr>
          <w:b/>
        </w:rPr>
        <w:lastRenderedPageBreak/>
        <w:t>5.</w:t>
      </w:r>
      <w:r>
        <w:rPr>
          <w:b/>
        </w:rPr>
        <w:tab/>
      </w:r>
      <w:r w:rsidR="001442D9">
        <w:rPr>
          <w:b/>
        </w:rPr>
        <w:t>Acknowledgements</w:t>
      </w:r>
    </w:p>
    <w:p w:rsidR="00163F9E" w:rsidRDefault="00163F9E" w:rsidP="00801846">
      <w:pPr>
        <w:autoSpaceDE w:val="0"/>
        <w:autoSpaceDN w:val="0"/>
        <w:adjustRightInd w:val="0"/>
        <w:spacing w:line="480" w:lineRule="auto"/>
        <w:jc w:val="both"/>
      </w:pPr>
      <w:r w:rsidRPr="00801846">
        <w:t>This work was supported by a grant from the National Aeronautics and Space Administration (NASA)</w:t>
      </w:r>
      <w:r w:rsidR="00801846">
        <w:t>, a</w:t>
      </w:r>
      <w:r w:rsidR="00801846" w:rsidRPr="00801846">
        <w:rPr>
          <w:rFonts w:eastAsiaTheme="minorHAnsi"/>
        </w:rPr>
        <w:t>nd by the base funding of NOAA Atlantic Oceanographic</w:t>
      </w:r>
      <w:r w:rsidR="00801846">
        <w:rPr>
          <w:rFonts w:eastAsiaTheme="minorHAnsi"/>
        </w:rPr>
        <w:t xml:space="preserve"> </w:t>
      </w:r>
      <w:r w:rsidR="00801846" w:rsidRPr="00801846">
        <w:rPr>
          <w:rFonts w:eastAsiaTheme="minorHAnsi"/>
        </w:rPr>
        <w:t>and Meteorological Laboratory (AOML).</w:t>
      </w:r>
      <w:r w:rsidR="00801846">
        <w:rPr>
          <w:rFonts w:eastAsiaTheme="minorHAnsi"/>
        </w:rPr>
        <w:t xml:space="preserve"> </w:t>
      </w:r>
      <w:r w:rsidR="00B82F1E" w:rsidRPr="00801846">
        <w:t>We thank J. Lyczkowski-Schultz, K. Williams, T. Cullins, G. Zapfe and A. Millett for provision of larval data from SEAMAP Program,</w:t>
      </w:r>
      <w:r w:rsidR="00B82F1E">
        <w:t xml:space="preserve"> as well as the </w:t>
      </w:r>
      <w:r w:rsidR="00B82F1E" w:rsidRPr="00EB5A93">
        <w:t xml:space="preserve">captains and crew of all NOAA ships </w:t>
      </w:r>
      <w:r w:rsidR="00B82F1E">
        <w:t>which</w:t>
      </w:r>
      <w:r w:rsidR="00B82F1E" w:rsidRPr="00EB5A93">
        <w:t xml:space="preserve"> collect data on SEAMAP cruise</w:t>
      </w:r>
      <w:r w:rsidR="00B82F1E">
        <w:t>s</w:t>
      </w:r>
      <w:r w:rsidR="00B82F1E" w:rsidRPr="00EB5A93">
        <w:t>.</w:t>
      </w:r>
      <w:r w:rsidR="00B82F1E">
        <w:t xml:space="preserve"> </w:t>
      </w:r>
      <w:r w:rsidR="00B82F1E" w:rsidRPr="00B82F1E">
        <w:t>We also thank M. Konieczna and L. Ejsymont from the Sea Fisheries Institute Plankton Sorting and Identification Center, Gdynia and Szczecin, Poland</w:t>
      </w:r>
      <w:r w:rsidR="00B82F1E">
        <w:t>, and we acknowledge ICCAT for the provision of fisheries catch data.</w:t>
      </w:r>
    </w:p>
    <w:p w:rsidR="00163F9E" w:rsidRDefault="00163F9E" w:rsidP="004D0C76">
      <w:pPr>
        <w:autoSpaceDE w:val="0"/>
        <w:autoSpaceDN w:val="0"/>
        <w:adjustRightInd w:val="0"/>
        <w:spacing w:line="480" w:lineRule="auto"/>
        <w:ind w:firstLine="360"/>
        <w:jc w:val="both"/>
      </w:pPr>
    </w:p>
    <w:p w:rsidR="00FE3D3C" w:rsidRDefault="00FE3D3C">
      <w:pPr>
        <w:spacing w:after="200" w:line="276" w:lineRule="auto"/>
        <w:rPr>
          <w:b/>
        </w:rPr>
      </w:pPr>
      <w:r>
        <w:rPr>
          <w:b/>
        </w:rPr>
        <w:br w:type="page"/>
      </w:r>
    </w:p>
    <w:p w:rsidR="001442D9" w:rsidRDefault="001442D9" w:rsidP="00134A4E">
      <w:pPr>
        <w:autoSpaceDE w:val="0"/>
        <w:autoSpaceDN w:val="0"/>
        <w:adjustRightInd w:val="0"/>
        <w:spacing w:line="480" w:lineRule="auto"/>
        <w:ind w:left="720" w:hanging="720"/>
        <w:jc w:val="both"/>
        <w:rPr>
          <w:b/>
        </w:rPr>
      </w:pPr>
      <w:r>
        <w:rPr>
          <w:b/>
        </w:rPr>
        <w:lastRenderedPageBreak/>
        <w:t>References</w:t>
      </w:r>
    </w:p>
    <w:p w:rsidR="004202AB" w:rsidRDefault="004202AB" w:rsidP="00134A4E">
      <w:pPr>
        <w:spacing w:line="480" w:lineRule="auto"/>
        <w:ind w:left="720" w:hanging="720"/>
        <w:jc w:val="both"/>
        <w:rPr>
          <w:rFonts w:eastAsia="Calibri" w:cstheme="minorHAnsi"/>
        </w:rPr>
      </w:pPr>
      <w:r w:rsidRPr="004202AB">
        <w:rPr>
          <w:rFonts w:eastAsia="Calibri" w:cstheme="minorHAnsi"/>
        </w:rPr>
        <w:t>Baker, A. C., Glynn, P. W., Riegl, B. (2008) Climate change and coral reef bleaching: An ecological assessment of long-term impacts, recovery trends and future outlook. Estuarine, Coastal and Shelf Science 80</w:t>
      </w:r>
      <w:r w:rsidR="003B536D">
        <w:rPr>
          <w:rFonts w:eastAsia="Calibri" w:cstheme="minorHAnsi"/>
        </w:rPr>
        <w:t>:</w:t>
      </w:r>
      <w:r w:rsidRPr="004202AB">
        <w:rPr>
          <w:rFonts w:eastAsia="Calibri" w:cstheme="minorHAnsi"/>
        </w:rPr>
        <w:t xml:space="preserve"> 435-471.</w:t>
      </w:r>
    </w:p>
    <w:p w:rsidR="004202AB" w:rsidRDefault="004202AB" w:rsidP="00134A4E">
      <w:pPr>
        <w:spacing w:line="480" w:lineRule="auto"/>
        <w:ind w:left="720" w:hanging="720"/>
        <w:jc w:val="both"/>
        <w:rPr>
          <w:rFonts w:eastAsia="Calibri" w:cstheme="minorHAnsi"/>
        </w:rPr>
      </w:pPr>
      <w:r w:rsidRPr="004202AB">
        <w:rPr>
          <w:rFonts w:eastAsia="Calibri" w:cstheme="minorHAnsi"/>
        </w:rPr>
        <w:t xml:space="preserve">Barkley, R. A., Neill, W. H., Gooding, R. M. (1978) Skipjack tuna, </w:t>
      </w:r>
      <w:r w:rsidRPr="00D13B4F">
        <w:rPr>
          <w:rFonts w:eastAsia="Calibri" w:cstheme="minorHAnsi"/>
          <w:i/>
        </w:rPr>
        <w:t>Katsuwonus pelamis</w:t>
      </w:r>
      <w:r w:rsidRPr="004202AB">
        <w:rPr>
          <w:rFonts w:eastAsia="Calibri" w:cstheme="minorHAnsi"/>
        </w:rPr>
        <w:t>, habitat based on temperature and oxygen requirements. Fish</w:t>
      </w:r>
      <w:r w:rsidR="003B536D">
        <w:rPr>
          <w:rFonts w:eastAsia="Calibri" w:cstheme="minorHAnsi"/>
        </w:rPr>
        <w:t>ery</w:t>
      </w:r>
      <w:r w:rsidRPr="004202AB">
        <w:rPr>
          <w:rFonts w:eastAsia="Calibri" w:cstheme="minorHAnsi"/>
        </w:rPr>
        <w:t xml:space="preserve"> Bull</w:t>
      </w:r>
      <w:r w:rsidR="003B536D">
        <w:rPr>
          <w:rFonts w:eastAsia="Calibri" w:cstheme="minorHAnsi"/>
        </w:rPr>
        <w:t>etin</w:t>
      </w:r>
      <w:r w:rsidRPr="004202AB">
        <w:rPr>
          <w:rFonts w:eastAsia="Calibri" w:cstheme="minorHAnsi"/>
        </w:rPr>
        <w:t xml:space="preserve"> 76</w:t>
      </w:r>
      <w:r w:rsidR="003B536D">
        <w:rPr>
          <w:rFonts w:eastAsia="Calibri" w:cstheme="minorHAnsi"/>
        </w:rPr>
        <w:t>:</w:t>
      </w:r>
      <w:r w:rsidRPr="004202AB">
        <w:rPr>
          <w:rFonts w:eastAsia="Calibri" w:cstheme="minorHAnsi"/>
        </w:rPr>
        <w:t xml:space="preserve"> 653-662.</w:t>
      </w:r>
    </w:p>
    <w:p w:rsidR="004202AB" w:rsidRDefault="004202AB" w:rsidP="00134A4E">
      <w:pPr>
        <w:spacing w:line="480" w:lineRule="auto"/>
        <w:ind w:left="720" w:hanging="720"/>
        <w:jc w:val="both"/>
        <w:rPr>
          <w:rFonts w:eastAsia="Calibri" w:cstheme="minorHAnsi"/>
        </w:rPr>
      </w:pPr>
      <w:r w:rsidRPr="004202AB">
        <w:rPr>
          <w:rFonts w:eastAsia="Calibri" w:cstheme="minorHAnsi"/>
        </w:rPr>
        <w:t>Blank, J. M., Morrissette, J. M., Davie, P. S., Block, B. A. (2002) Effects of temperature, epinephrine and Ca2+ on the hearts of yellowfin tuna (</w:t>
      </w:r>
      <w:r w:rsidRPr="004202AB">
        <w:rPr>
          <w:rFonts w:eastAsia="Calibri" w:cstheme="minorHAnsi"/>
          <w:i/>
        </w:rPr>
        <w:t>Thunnus albacares</w:t>
      </w:r>
      <w:r w:rsidRPr="004202AB">
        <w:rPr>
          <w:rFonts w:eastAsia="Calibri" w:cstheme="minorHAnsi"/>
        </w:rPr>
        <w:t xml:space="preserve">). Journal of </w:t>
      </w:r>
      <w:r w:rsidR="003B536D">
        <w:rPr>
          <w:rFonts w:eastAsia="Calibri" w:cstheme="minorHAnsi"/>
        </w:rPr>
        <w:t>E</w:t>
      </w:r>
      <w:r w:rsidRPr="004202AB">
        <w:rPr>
          <w:rFonts w:eastAsia="Calibri" w:cstheme="minorHAnsi"/>
        </w:rPr>
        <w:t xml:space="preserve">xperimental </w:t>
      </w:r>
      <w:r w:rsidR="003B536D">
        <w:rPr>
          <w:rFonts w:eastAsia="Calibri" w:cstheme="minorHAnsi"/>
        </w:rPr>
        <w:t>B</w:t>
      </w:r>
      <w:r w:rsidRPr="004202AB">
        <w:rPr>
          <w:rFonts w:eastAsia="Calibri" w:cstheme="minorHAnsi"/>
        </w:rPr>
        <w:t>iology 205</w:t>
      </w:r>
      <w:r w:rsidR="003B536D">
        <w:rPr>
          <w:rFonts w:eastAsia="Calibri" w:cstheme="minorHAnsi"/>
        </w:rPr>
        <w:t>:</w:t>
      </w:r>
      <w:r w:rsidRPr="004202AB">
        <w:rPr>
          <w:rFonts w:eastAsia="Calibri" w:cstheme="minorHAnsi"/>
        </w:rPr>
        <w:t xml:space="preserve"> 1881-1888.</w:t>
      </w:r>
    </w:p>
    <w:p w:rsidR="000324E7" w:rsidRDefault="000324E7" w:rsidP="00134A4E">
      <w:pPr>
        <w:spacing w:line="480" w:lineRule="auto"/>
        <w:ind w:left="720" w:hanging="720"/>
        <w:jc w:val="both"/>
        <w:rPr>
          <w:rFonts w:eastAsia="Calibri" w:cstheme="minorHAnsi"/>
        </w:rPr>
      </w:pPr>
      <w:r w:rsidRPr="000324E7">
        <w:rPr>
          <w:rFonts w:eastAsia="Calibri" w:cstheme="minorHAnsi"/>
        </w:rPr>
        <w:t xml:space="preserve">Blank, J.M., Morrissette, J.M., Landeira-Ferandez, A.M., Blackwell, S.B., Williams, T.D., Block, B.A. (2004) </w:t>
      </w:r>
      <w:r w:rsidRPr="003B536D">
        <w:rPr>
          <w:rFonts w:eastAsia="Calibri" w:cstheme="minorHAnsi"/>
          <w:i/>
        </w:rPr>
        <w:t>In situ</w:t>
      </w:r>
      <w:r w:rsidRPr="000324E7">
        <w:rPr>
          <w:rFonts w:eastAsia="Calibri" w:cstheme="minorHAnsi"/>
        </w:rPr>
        <w:t xml:space="preserve"> cardiac performance of Pacific bluefin tuna hearts in response to acute temperature change. </w:t>
      </w:r>
      <w:r w:rsidR="003B536D">
        <w:rPr>
          <w:rFonts w:eastAsia="Calibri" w:cstheme="minorHAnsi"/>
        </w:rPr>
        <w:t>Journal of Experimental Biology</w:t>
      </w:r>
      <w:r w:rsidRPr="000324E7">
        <w:rPr>
          <w:rFonts w:eastAsia="Calibri" w:cstheme="minorHAnsi"/>
        </w:rPr>
        <w:t xml:space="preserve"> 207: 881-890.</w:t>
      </w:r>
    </w:p>
    <w:p w:rsidR="000324E7" w:rsidRDefault="000324E7" w:rsidP="00134A4E">
      <w:pPr>
        <w:spacing w:line="480" w:lineRule="auto"/>
        <w:ind w:left="720" w:hanging="720"/>
        <w:jc w:val="both"/>
        <w:rPr>
          <w:rFonts w:eastAsia="Calibri" w:cstheme="minorHAnsi"/>
        </w:rPr>
      </w:pPr>
      <w:r w:rsidRPr="000324E7">
        <w:rPr>
          <w:rFonts w:eastAsia="Calibri" w:cstheme="minorHAnsi"/>
        </w:rPr>
        <w:t>Block, B.A., Teo, S.L.H., Walli, A., Boustany, A., Stokesbury, M.J.W., Farwell, C.J., Weng, K.C., Dewar, H., Williams, T.D. (2005) Electronic tagging and population structure of Atlantic bluefin tuna. Nature 434: 1121-1127.</w:t>
      </w:r>
    </w:p>
    <w:p w:rsidR="004202AB" w:rsidRDefault="004202AB" w:rsidP="00134A4E">
      <w:pPr>
        <w:spacing w:line="480" w:lineRule="auto"/>
        <w:ind w:left="720" w:hanging="720"/>
        <w:jc w:val="both"/>
        <w:rPr>
          <w:rFonts w:eastAsia="Calibri" w:cstheme="minorHAnsi"/>
        </w:rPr>
      </w:pPr>
      <w:r w:rsidRPr="004202AB">
        <w:rPr>
          <w:rFonts w:eastAsia="Calibri" w:cstheme="minorHAnsi"/>
        </w:rPr>
        <w:t xml:space="preserve">Boyce, D. G., Tittensor, D. P., Worm, B. (2008) Effects of temperature on global patterns of tuna and billfish richness. </w:t>
      </w:r>
      <w:r w:rsidR="003B536D">
        <w:rPr>
          <w:rFonts w:eastAsia="Calibri" w:cstheme="minorHAnsi"/>
        </w:rPr>
        <w:t>Marine Ecology Progress Series</w:t>
      </w:r>
      <w:r w:rsidRPr="004202AB">
        <w:rPr>
          <w:rFonts w:eastAsia="Calibri" w:cstheme="minorHAnsi"/>
        </w:rPr>
        <w:t xml:space="preserve"> 355</w:t>
      </w:r>
      <w:r>
        <w:rPr>
          <w:rFonts w:eastAsia="Calibri" w:cstheme="minorHAnsi"/>
        </w:rPr>
        <w:t>:</w:t>
      </w:r>
      <w:r w:rsidRPr="004202AB">
        <w:rPr>
          <w:rFonts w:eastAsia="Calibri" w:cstheme="minorHAnsi"/>
        </w:rPr>
        <w:t xml:space="preserve"> 267</w:t>
      </w:r>
      <w:r>
        <w:rPr>
          <w:rFonts w:eastAsia="Calibri" w:cstheme="minorHAnsi"/>
        </w:rPr>
        <w:t>-276.</w:t>
      </w:r>
      <w:r w:rsidRPr="004202AB">
        <w:rPr>
          <w:rFonts w:eastAsia="Calibri" w:cstheme="minorHAnsi"/>
        </w:rPr>
        <w:t>.</w:t>
      </w:r>
    </w:p>
    <w:p w:rsidR="004202AB" w:rsidRDefault="004202AB" w:rsidP="00134A4E">
      <w:pPr>
        <w:spacing w:line="480" w:lineRule="auto"/>
        <w:ind w:left="720" w:hanging="720"/>
        <w:jc w:val="both"/>
        <w:rPr>
          <w:rFonts w:eastAsia="Calibri" w:cstheme="minorHAnsi"/>
        </w:rPr>
      </w:pPr>
      <w:r w:rsidRPr="004202AB">
        <w:rPr>
          <w:rFonts w:eastAsia="Calibri" w:cstheme="minorHAnsi"/>
        </w:rPr>
        <w:t>Brill, R. W. (1994) A review of temperature and oxygen tolerance studies of tunas pertinent to fisheries oceanography, movement models and stock assessments. Fisheries Oceanography 3</w:t>
      </w:r>
      <w:r w:rsidR="003B536D">
        <w:rPr>
          <w:rFonts w:eastAsia="Calibri" w:cstheme="minorHAnsi"/>
        </w:rPr>
        <w:t>:</w:t>
      </w:r>
      <w:r w:rsidRPr="004202AB">
        <w:rPr>
          <w:rFonts w:eastAsia="Calibri" w:cstheme="minorHAnsi"/>
        </w:rPr>
        <w:t xml:space="preserve"> 204-216.</w:t>
      </w:r>
    </w:p>
    <w:p w:rsidR="004202AB" w:rsidRDefault="004202AB" w:rsidP="00134A4E">
      <w:pPr>
        <w:spacing w:line="480" w:lineRule="auto"/>
        <w:ind w:left="720" w:hanging="720"/>
        <w:jc w:val="both"/>
        <w:rPr>
          <w:rFonts w:eastAsia="Calibri" w:cstheme="minorHAnsi"/>
        </w:rPr>
      </w:pPr>
      <w:r w:rsidRPr="004202AB">
        <w:rPr>
          <w:rFonts w:eastAsia="Calibri" w:cstheme="minorHAnsi"/>
        </w:rPr>
        <w:t>Carey, F. G., Teal, J. M. (1969) Regulation of body temperature by the bluefin tuna. Comparative biochemistry and physiology 28</w:t>
      </w:r>
      <w:r w:rsidR="003B536D">
        <w:rPr>
          <w:rFonts w:eastAsia="Calibri" w:cstheme="minorHAnsi"/>
        </w:rPr>
        <w:t>:</w:t>
      </w:r>
      <w:r w:rsidRPr="004202AB">
        <w:rPr>
          <w:rFonts w:eastAsia="Calibri" w:cstheme="minorHAnsi"/>
        </w:rPr>
        <w:t xml:space="preserve"> 205-213.</w:t>
      </w:r>
    </w:p>
    <w:p w:rsidR="004202AB" w:rsidRDefault="004202AB" w:rsidP="00134A4E">
      <w:pPr>
        <w:spacing w:line="480" w:lineRule="auto"/>
        <w:ind w:left="720" w:hanging="720"/>
        <w:jc w:val="both"/>
        <w:rPr>
          <w:rFonts w:eastAsia="Calibri" w:cstheme="minorHAnsi"/>
        </w:rPr>
      </w:pPr>
      <w:r w:rsidRPr="004202AB">
        <w:rPr>
          <w:rFonts w:eastAsia="Calibri" w:cstheme="minorHAnsi"/>
        </w:rPr>
        <w:t>Collette, B. B., Nauen, C. E. (1983) Scombrids of the words. FAO, Rome (Italy).</w:t>
      </w:r>
    </w:p>
    <w:p w:rsidR="004202AB" w:rsidRDefault="00E929FA" w:rsidP="00134A4E">
      <w:pPr>
        <w:spacing w:line="480" w:lineRule="auto"/>
        <w:ind w:left="720" w:hanging="720"/>
        <w:jc w:val="both"/>
        <w:rPr>
          <w:rFonts w:eastAsia="Calibri" w:cstheme="minorHAnsi"/>
        </w:rPr>
      </w:pPr>
      <w:r w:rsidRPr="00E929FA">
        <w:rPr>
          <w:rFonts w:eastAsia="Calibri" w:cstheme="minorHAnsi"/>
        </w:rPr>
        <w:lastRenderedPageBreak/>
        <w:t xml:space="preserve">Compo, G. P., </w:t>
      </w:r>
      <w:r w:rsidR="003B536D">
        <w:rPr>
          <w:rFonts w:eastAsia="Calibri" w:cstheme="minorHAnsi"/>
        </w:rPr>
        <w:t xml:space="preserve">Whitaker, J.S., Sardeshmukh, P.D., Matsui, N., Allan, R.J., Yin, X., Gleason, B.E., Vose, R.S., Rutledge, G., Bessemoulin, P., Bronnimann, S., Brunet, M., Crouthamel, R.I., Grant, A.N., Groisman, P.Y., Jones, P.D., Kruk, M.C., Kruger, A.C., Marshall, G.J., Maugeri, M., Mok, H.Y., Nordli, O., Ross, T.F., Trigo, R.M., Wang, X.L., Woodruff, S.D., Worley, S.J. </w:t>
      </w:r>
      <w:r w:rsidRPr="00E929FA">
        <w:rPr>
          <w:rFonts w:eastAsia="Calibri" w:cstheme="minorHAnsi"/>
        </w:rPr>
        <w:t>(2011) The twentieth century reanalysis project</w:t>
      </w:r>
      <w:r w:rsidR="003B536D">
        <w:rPr>
          <w:rFonts w:eastAsia="Calibri" w:cstheme="minorHAnsi"/>
        </w:rPr>
        <w:t>. Quarterly Journal of the Royal Meteorological Society</w:t>
      </w:r>
      <w:r w:rsidRPr="00E929FA">
        <w:rPr>
          <w:rFonts w:eastAsia="Calibri" w:cstheme="minorHAnsi"/>
        </w:rPr>
        <w:t xml:space="preserve"> 137, 1–28.</w:t>
      </w:r>
    </w:p>
    <w:p w:rsidR="007D02D7" w:rsidRPr="005B2D7A" w:rsidRDefault="007D02D7" w:rsidP="00134A4E">
      <w:pPr>
        <w:spacing w:line="480" w:lineRule="auto"/>
        <w:ind w:left="720" w:hanging="720"/>
        <w:jc w:val="both"/>
        <w:rPr>
          <w:rFonts w:eastAsia="Calibri" w:cstheme="minorHAnsi"/>
        </w:rPr>
      </w:pPr>
      <w:r w:rsidRPr="005B2D7A">
        <w:rPr>
          <w:rFonts w:eastAsia="Calibri" w:cstheme="minorHAnsi"/>
        </w:rPr>
        <w:t>Daskalov, G. (1999) Relating fish recruitment to stock biomass and physical environment in the Black Sea using generalized additive models. Fisheries Res</w:t>
      </w:r>
      <w:r w:rsidR="00C24774">
        <w:rPr>
          <w:rFonts w:eastAsia="Calibri" w:cstheme="minorHAnsi"/>
        </w:rPr>
        <w:t>earch</w:t>
      </w:r>
      <w:r w:rsidRPr="005B2D7A">
        <w:rPr>
          <w:rFonts w:eastAsia="Calibri" w:cstheme="minorHAnsi"/>
        </w:rPr>
        <w:t xml:space="preserve"> 41: 1-23.</w:t>
      </w:r>
    </w:p>
    <w:p w:rsidR="004202AB" w:rsidRDefault="004202AB" w:rsidP="00134A4E">
      <w:pPr>
        <w:spacing w:line="480" w:lineRule="auto"/>
        <w:ind w:left="720" w:hanging="720"/>
        <w:jc w:val="both"/>
        <w:rPr>
          <w:rFonts w:eastAsia="Calibri" w:cstheme="minorHAnsi"/>
        </w:rPr>
      </w:pPr>
      <w:r w:rsidRPr="004202AB">
        <w:rPr>
          <w:rFonts w:eastAsia="Calibri" w:cstheme="minorHAnsi"/>
        </w:rPr>
        <w:t>Dagorn, L., Holland, K. N., Hallier, J. P., Taquet, M., Moreno, G., Sancho, G</w:t>
      </w:r>
      <w:r w:rsidR="00C24774">
        <w:rPr>
          <w:rFonts w:eastAsia="Calibri" w:cstheme="minorHAnsi"/>
        </w:rPr>
        <w:t>, Itano., D.G., Aumeeruddy, R., Girard, C., Million, J.,</w:t>
      </w:r>
      <w:r w:rsidRPr="004202AB">
        <w:rPr>
          <w:rFonts w:eastAsia="Calibri" w:cstheme="minorHAnsi"/>
        </w:rPr>
        <w:t xml:space="preserve"> Fonteneau, A. (2006) Deep diving behavior observed in yellowfin tuna (</w:t>
      </w:r>
      <w:r w:rsidRPr="004202AB">
        <w:rPr>
          <w:rFonts w:eastAsia="Calibri" w:cstheme="minorHAnsi"/>
          <w:i/>
        </w:rPr>
        <w:t>Thunnus albacares</w:t>
      </w:r>
      <w:r w:rsidRPr="004202AB">
        <w:rPr>
          <w:rFonts w:eastAsia="Calibri" w:cstheme="minorHAnsi"/>
        </w:rPr>
        <w:t>). Aquatic Living Resources 19</w:t>
      </w:r>
      <w:r w:rsidR="00C24774">
        <w:rPr>
          <w:rFonts w:eastAsia="Calibri" w:cstheme="minorHAnsi"/>
        </w:rPr>
        <w:t>:</w:t>
      </w:r>
      <w:r w:rsidRPr="004202AB">
        <w:rPr>
          <w:rFonts w:eastAsia="Calibri" w:cstheme="minorHAnsi"/>
        </w:rPr>
        <w:t>, 85-88.</w:t>
      </w:r>
    </w:p>
    <w:p w:rsidR="00DA3033" w:rsidRDefault="00DA3033" w:rsidP="00134A4E">
      <w:pPr>
        <w:spacing w:line="480" w:lineRule="auto"/>
        <w:ind w:left="720" w:hanging="720"/>
        <w:jc w:val="both"/>
        <w:rPr>
          <w:rFonts w:eastAsia="Calibri" w:cstheme="minorHAnsi"/>
        </w:rPr>
      </w:pPr>
      <w:r w:rsidRPr="00DA3033">
        <w:rPr>
          <w:rFonts w:eastAsia="Calibri" w:cstheme="minorHAnsi"/>
        </w:rPr>
        <w:t>Dizon, A. E., Nei</w:t>
      </w:r>
      <w:r>
        <w:rPr>
          <w:rFonts w:eastAsia="Calibri" w:cstheme="minorHAnsi"/>
        </w:rPr>
        <w:t xml:space="preserve">ll, W.H., Magnuson, J.J. (1977) </w:t>
      </w:r>
      <w:r w:rsidRPr="00DA3033">
        <w:rPr>
          <w:rFonts w:eastAsia="Calibri" w:cstheme="minorHAnsi"/>
        </w:rPr>
        <w:t xml:space="preserve">Rapid temperature compensation of volitional swimming speeds and lethal temperatures in tropical tunas (Scombridae). </w:t>
      </w:r>
      <w:r w:rsidR="00C24774">
        <w:rPr>
          <w:rFonts w:eastAsia="Calibri" w:cstheme="minorHAnsi"/>
        </w:rPr>
        <w:t>Environmental Biology of Fishes</w:t>
      </w:r>
      <w:r w:rsidRPr="00DA3033">
        <w:rPr>
          <w:rFonts w:eastAsia="Calibri" w:cstheme="minorHAnsi"/>
        </w:rPr>
        <w:t xml:space="preserve"> 2: 83-92.</w:t>
      </w:r>
    </w:p>
    <w:p w:rsidR="004202AB" w:rsidRDefault="004202AB" w:rsidP="00134A4E">
      <w:pPr>
        <w:spacing w:line="480" w:lineRule="auto"/>
        <w:ind w:left="720" w:hanging="720"/>
        <w:jc w:val="both"/>
        <w:rPr>
          <w:rFonts w:eastAsia="Calibri" w:cstheme="minorHAnsi"/>
        </w:rPr>
      </w:pPr>
      <w:r w:rsidRPr="004202AB">
        <w:rPr>
          <w:rFonts w:eastAsia="Calibri" w:cstheme="minorHAnsi"/>
        </w:rPr>
        <w:t xml:space="preserve">Dueri, S., Bopp, L., Maury, O. (2014) Projecting the impacts of climate change on skipjack tuna abundance and spatial distribution. Global </w:t>
      </w:r>
      <w:r w:rsidR="00C24774">
        <w:rPr>
          <w:rFonts w:eastAsia="Calibri" w:cstheme="minorHAnsi"/>
        </w:rPr>
        <w:t>C</w:t>
      </w:r>
      <w:r w:rsidRPr="004202AB">
        <w:rPr>
          <w:rFonts w:eastAsia="Calibri" w:cstheme="minorHAnsi"/>
        </w:rPr>
        <w:t xml:space="preserve">hange </w:t>
      </w:r>
      <w:r w:rsidR="00C24774">
        <w:rPr>
          <w:rFonts w:eastAsia="Calibri" w:cstheme="minorHAnsi"/>
        </w:rPr>
        <w:t>Biology</w:t>
      </w:r>
      <w:r w:rsidRPr="004202AB">
        <w:rPr>
          <w:rFonts w:eastAsia="Calibri" w:cstheme="minorHAnsi"/>
        </w:rPr>
        <w:t xml:space="preserve"> 20</w:t>
      </w:r>
      <w:r w:rsidR="00C24774">
        <w:rPr>
          <w:rFonts w:eastAsia="Calibri" w:cstheme="minorHAnsi"/>
        </w:rPr>
        <w:t>:</w:t>
      </w:r>
      <w:r w:rsidRPr="004202AB">
        <w:rPr>
          <w:rFonts w:eastAsia="Calibri" w:cstheme="minorHAnsi"/>
        </w:rPr>
        <w:t xml:space="preserve"> 742-753.</w:t>
      </w:r>
    </w:p>
    <w:p w:rsidR="007D02D7" w:rsidRPr="005B2D7A" w:rsidRDefault="007D02D7" w:rsidP="00134A4E">
      <w:pPr>
        <w:spacing w:line="480" w:lineRule="auto"/>
        <w:ind w:left="720" w:hanging="720"/>
        <w:jc w:val="both"/>
        <w:rPr>
          <w:rFonts w:eastAsia="Calibri" w:cstheme="minorHAnsi"/>
        </w:rPr>
      </w:pPr>
      <w:r w:rsidRPr="005B2D7A">
        <w:rPr>
          <w:rFonts w:eastAsia="Calibri" w:cstheme="minorHAnsi"/>
        </w:rPr>
        <w:t xml:space="preserve">Dulvy, N.K., Rogers, S.I., Jennings, S., Stelzenmuller, V., Dye, S.R., Skjoldal, H.R. (2008) Climate change and deepening of the North Sea fish assemblage: a biotic indicator of warming seas. </w:t>
      </w:r>
      <w:r w:rsidR="00C24774">
        <w:rPr>
          <w:rFonts w:eastAsia="Calibri" w:cstheme="minorHAnsi"/>
        </w:rPr>
        <w:t>Journal of Applied Ecology</w:t>
      </w:r>
      <w:r w:rsidRPr="005B2D7A">
        <w:rPr>
          <w:rFonts w:eastAsia="Calibri" w:cstheme="minorHAnsi"/>
        </w:rPr>
        <w:t xml:space="preserve"> 45: 1029-1039.</w:t>
      </w:r>
    </w:p>
    <w:p w:rsidR="004202AB" w:rsidRDefault="004202AB" w:rsidP="00134A4E">
      <w:pPr>
        <w:autoSpaceDE w:val="0"/>
        <w:autoSpaceDN w:val="0"/>
        <w:adjustRightInd w:val="0"/>
        <w:spacing w:line="480" w:lineRule="auto"/>
        <w:ind w:left="720" w:hanging="720"/>
        <w:jc w:val="both"/>
        <w:rPr>
          <w:rFonts w:cstheme="minorHAnsi"/>
        </w:rPr>
      </w:pPr>
      <w:r w:rsidRPr="004202AB">
        <w:rPr>
          <w:rFonts w:cstheme="minorHAnsi"/>
        </w:rPr>
        <w:t>Elith, J., Leathwick, J. R., Hastie, T. (2008). A working guide to boosted regression trees. Journal of Animal Ecology 77</w:t>
      </w:r>
      <w:r w:rsidR="00C24774">
        <w:rPr>
          <w:rFonts w:cstheme="minorHAnsi"/>
        </w:rPr>
        <w:t>:</w:t>
      </w:r>
      <w:r w:rsidRPr="004202AB">
        <w:rPr>
          <w:rFonts w:cstheme="minorHAnsi"/>
        </w:rPr>
        <w:t xml:space="preserve"> 802-813.</w:t>
      </w:r>
    </w:p>
    <w:p w:rsidR="004202AB" w:rsidRDefault="004202AB" w:rsidP="00134A4E">
      <w:pPr>
        <w:autoSpaceDE w:val="0"/>
        <w:autoSpaceDN w:val="0"/>
        <w:adjustRightInd w:val="0"/>
        <w:spacing w:line="480" w:lineRule="auto"/>
        <w:ind w:left="720" w:hanging="720"/>
        <w:jc w:val="both"/>
        <w:rPr>
          <w:rFonts w:cstheme="minorHAnsi"/>
        </w:rPr>
      </w:pPr>
      <w:r w:rsidRPr="004202AB">
        <w:rPr>
          <w:rFonts w:cstheme="minorHAnsi"/>
        </w:rPr>
        <w:lastRenderedPageBreak/>
        <w:t>Espinosa-Fuentes, M. L., Flores-Coto, C. (2004) Cross-shelf and vertical structure of ichthyoplankton assemblages in continental shelf waters of the Southern Gulf of Mexico. Estuarine, Coastal and Shelf Science 59</w:t>
      </w:r>
      <w:r w:rsidR="00C24774">
        <w:rPr>
          <w:rFonts w:cstheme="minorHAnsi"/>
        </w:rPr>
        <w:t>:</w:t>
      </w:r>
      <w:r w:rsidRPr="004202AB">
        <w:rPr>
          <w:rFonts w:cstheme="minorHAnsi"/>
        </w:rPr>
        <w:t xml:space="preserve"> 333-352.</w:t>
      </w:r>
    </w:p>
    <w:p w:rsidR="007D02D7" w:rsidRDefault="007D02D7" w:rsidP="00134A4E">
      <w:pPr>
        <w:autoSpaceDE w:val="0"/>
        <w:autoSpaceDN w:val="0"/>
        <w:adjustRightInd w:val="0"/>
        <w:spacing w:line="480" w:lineRule="auto"/>
        <w:ind w:left="720" w:hanging="720"/>
        <w:jc w:val="both"/>
        <w:rPr>
          <w:rFonts w:cstheme="minorHAnsi"/>
        </w:rPr>
      </w:pPr>
      <w:r w:rsidRPr="008D4782">
        <w:rPr>
          <w:rFonts w:cstheme="minorHAnsi"/>
        </w:rPr>
        <w:t xml:space="preserve">Fodrie, F. J., Heck Jr., K. L., Powers, S. P., Graham, W. M., Robinson, K. L. </w:t>
      </w:r>
      <w:r>
        <w:rPr>
          <w:rFonts w:cstheme="minorHAnsi"/>
        </w:rPr>
        <w:t>(</w:t>
      </w:r>
      <w:r w:rsidRPr="008D4782">
        <w:rPr>
          <w:rFonts w:cstheme="minorHAnsi"/>
        </w:rPr>
        <w:t>20</w:t>
      </w:r>
      <w:r>
        <w:rPr>
          <w:rFonts w:cstheme="minorHAnsi"/>
        </w:rPr>
        <w:t>10)</w:t>
      </w:r>
      <w:r w:rsidRPr="008D4782">
        <w:rPr>
          <w:rFonts w:cstheme="minorHAnsi"/>
        </w:rPr>
        <w:t xml:space="preserve"> Climate-related, decadal-scale assemblage changes in seagrass-associated fishes in the northern Gulf of Mexico. Global Change Biol</w:t>
      </w:r>
      <w:r w:rsidR="00C24774">
        <w:rPr>
          <w:rFonts w:cstheme="minorHAnsi"/>
        </w:rPr>
        <w:t>ogy</w:t>
      </w:r>
      <w:r w:rsidRPr="008D4782">
        <w:rPr>
          <w:rFonts w:cstheme="minorHAnsi"/>
        </w:rPr>
        <w:t xml:space="preserve"> 16: 48–59</w:t>
      </w:r>
    </w:p>
    <w:p w:rsidR="004202AB" w:rsidRDefault="004202AB" w:rsidP="00134A4E">
      <w:pPr>
        <w:spacing w:line="480" w:lineRule="auto"/>
        <w:ind w:left="720" w:hanging="720"/>
        <w:jc w:val="both"/>
        <w:rPr>
          <w:rFonts w:eastAsia="Calibri" w:cstheme="minorHAnsi"/>
        </w:rPr>
      </w:pPr>
      <w:r w:rsidRPr="004202AB">
        <w:rPr>
          <w:rFonts w:eastAsia="Calibri" w:cstheme="minorHAnsi"/>
        </w:rPr>
        <w:t>Fromentin, J. M., Reygondeau, G., Bonhommeau, S., Beaugrand, G. (2014) Oceanographic changes and exploitation drive the spatio</w:t>
      </w:r>
      <w:r w:rsidRPr="004202AB">
        <w:rPr>
          <w:rFonts w:ascii="Cambria Math" w:eastAsia="Calibri" w:hAnsi="Cambria Math" w:cs="Cambria Math"/>
        </w:rPr>
        <w:t>‐</w:t>
      </w:r>
      <w:r w:rsidRPr="004202AB">
        <w:rPr>
          <w:rFonts w:eastAsia="Calibri" w:cstheme="minorHAnsi"/>
        </w:rPr>
        <w:t>temporal dynamics of Atlantic bluefin tuna (</w:t>
      </w:r>
      <w:r w:rsidRPr="004202AB">
        <w:rPr>
          <w:rFonts w:eastAsia="Calibri" w:cstheme="minorHAnsi"/>
          <w:i/>
        </w:rPr>
        <w:t>Thunnus thynnus</w:t>
      </w:r>
      <w:r w:rsidRPr="004202AB">
        <w:rPr>
          <w:rFonts w:eastAsia="Calibri" w:cstheme="minorHAnsi"/>
        </w:rPr>
        <w:t>). Fisheries Oceanography 23</w:t>
      </w:r>
      <w:r w:rsidR="00C24774">
        <w:rPr>
          <w:rFonts w:eastAsia="Calibri" w:cstheme="minorHAnsi"/>
        </w:rPr>
        <w:t>:</w:t>
      </w:r>
      <w:r w:rsidRPr="004202AB">
        <w:rPr>
          <w:rFonts w:eastAsia="Calibri" w:cstheme="minorHAnsi"/>
        </w:rPr>
        <w:t xml:space="preserve"> 147-156.</w:t>
      </w:r>
    </w:p>
    <w:p w:rsidR="0063294B" w:rsidRDefault="0063294B" w:rsidP="00134A4E">
      <w:pPr>
        <w:spacing w:line="480" w:lineRule="auto"/>
        <w:ind w:left="720" w:hanging="720"/>
        <w:jc w:val="both"/>
        <w:rPr>
          <w:rFonts w:eastAsia="Calibri" w:cstheme="minorHAnsi"/>
        </w:rPr>
      </w:pPr>
      <w:r w:rsidRPr="0063294B">
        <w:rPr>
          <w:rFonts w:eastAsia="Calibri" w:cstheme="minorHAnsi"/>
        </w:rPr>
        <w:t>García, A., Cortés, D., Quintanilla, J., Ramirez, T., Quintanilla, L., Rodríguez, J. M., Alemany, F. (2013) Climate</w:t>
      </w:r>
      <w:r w:rsidRPr="0063294B">
        <w:rPr>
          <w:rFonts w:ascii="Cambria Math" w:eastAsia="Calibri" w:hAnsi="Cambria Math" w:cs="Cambria Math"/>
        </w:rPr>
        <w:t>‐</w:t>
      </w:r>
      <w:r w:rsidRPr="0063294B">
        <w:rPr>
          <w:rFonts w:eastAsia="Calibri" w:cstheme="minorHAnsi"/>
        </w:rPr>
        <w:t>induced environmental conditions influencing interannual variability of Mediterranean bluefin (</w:t>
      </w:r>
      <w:r w:rsidRPr="0063294B">
        <w:rPr>
          <w:rFonts w:eastAsia="Calibri" w:cstheme="minorHAnsi"/>
          <w:i/>
        </w:rPr>
        <w:t>Thunnus thynnus</w:t>
      </w:r>
      <w:r w:rsidRPr="0063294B">
        <w:rPr>
          <w:rFonts w:eastAsia="Calibri" w:cstheme="minorHAnsi"/>
        </w:rPr>
        <w:t xml:space="preserve">) larval growth. </w:t>
      </w:r>
      <w:r w:rsidR="00C24774">
        <w:rPr>
          <w:rFonts w:eastAsia="Calibri" w:cstheme="minorHAnsi"/>
        </w:rPr>
        <w:t>Fisheries Oceanography</w:t>
      </w:r>
      <w:r w:rsidRPr="0063294B">
        <w:rPr>
          <w:rFonts w:eastAsia="Calibri" w:cstheme="minorHAnsi"/>
        </w:rPr>
        <w:t xml:space="preserve"> 22: 273-287.</w:t>
      </w:r>
    </w:p>
    <w:p w:rsidR="00C153C9" w:rsidRDefault="00C153C9" w:rsidP="00134A4E">
      <w:pPr>
        <w:spacing w:line="480" w:lineRule="auto"/>
        <w:ind w:left="720" w:hanging="720"/>
        <w:jc w:val="both"/>
        <w:rPr>
          <w:rFonts w:eastAsia="Calibri" w:cstheme="minorHAnsi"/>
        </w:rPr>
      </w:pPr>
      <w:r w:rsidRPr="00C153C9">
        <w:rPr>
          <w:rFonts w:eastAsia="Calibri" w:cstheme="minorHAnsi"/>
        </w:rPr>
        <w:t xml:space="preserve">Giese, B. S., S. Ray (2011), El Niño variability in simple ocean data assimilation (SODA), 1871–2008, </w:t>
      </w:r>
      <w:r w:rsidR="00C24774">
        <w:rPr>
          <w:rFonts w:eastAsia="Calibri" w:cstheme="minorHAnsi"/>
        </w:rPr>
        <w:t>Journal of Geophysical Research</w:t>
      </w:r>
      <w:r w:rsidRPr="00C153C9">
        <w:rPr>
          <w:rFonts w:eastAsia="Calibri" w:cstheme="minorHAnsi"/>
        </w:rPr>
        <w:t xml:space="preserve"> 116, C02024, doi:10.1029/2010JC006695.</w:t>
      </w:r>
    </w:p>
    <w:p w:rsidR="00C153C9" w:rsidRPr="00C153C9" w:rsidRDefault="00C24774" w:rsidP="00134A4E">
      <w:pPr>
        <w:spacing w:line="480" w:lineRule="auto"/>
        <w:ind w:left="720" w:hanging="720"/>
        <w:jc w:val="both"/>
        <w:rPr>
          <w:rFonts w:eastAsia="Calibri" w:cstheme="minorHAnsi"/>
        </w:rPr>
      </w:pPr>
      <w:r w:rsidRPr="00C24774">
        <w:rPr>
          <w:rFonts w:eastAsia="Calibri" w:cstheme="minorHAnsi"/>
        </w:rPr>
        <w:t>Gnanadesikan, A., Dixon, K. W., Griffies, S. M., Balaji, V., Barreiro, M., Beesley, J. A</w:t>
      </w:r>
      <w:r>
        <w:rPr>
          <w:rFonts w:eastAsia="Calibri" w:cstheme="minorHAnsi"/>
        </w:rPr>
        <w:t xml:space="preserve">., Cooke, W.F., Delworth, T.L., Gerdes, R., Harrison, M., Held, I.M., Hurlin, W.J., Lee, H-C., Liang, Z., Ning, G., Pacanowski, R.C., Rosati, A., Russell, J., Samuels, B.L., Song, Q., Spelman, M.J., Stouffer, R.J., Sweeney, C.O., Vecchi, G., Winton, M., Wittenberg, A.T., Zeng, F., Zhang, R., </w:t>
      </w:r>
      <w:r w:rsidRPr="00C24774">
        <w:rPr>
          <w:rFonts w:eastAsia="Calibri" w:cstheme="minorHAnsi"/>
        </w:rPr>
        <w:t>Dunne, J. P</w:t>
      </w:r>
      <w:r w:rsidR="00C153C9" w:rsidRPr="00C153C9">
        <w:rPr>
          <w:rFonts w:eastAsia="Calibri" w:cstheme="minorHAnsi"/>
        </w:rPr>
        <w:t xml:space="preserve"> (2006) GFDL's CM2 Global Coupled Climate Models. Part II: The Baseline Ocean Simulation. </w:t>
      </w:r>
      <w:r>
        <w:rPr>
          <w:rFonts w:eastAsia="Calibri" w:cstheme="minorHAnsi"/>
        </w:rPr>
        <w:t>Journal of Climate</w:t>
      </w:r>
      <w:r w:rsidR="00C153C9" w:rsidRPr="00C153C9">
        <w:rPr>
          <w:rFonts w:eastAsia="Calibri" w:cstheme="minorHAnsi"/>
        </w:rPr>
        <w:t xml:space="preserve"> 19</w:t>
      </w:r>
      <w:r>
        <w:rPr>
          <w:rFonts w:eastAsia="Calibri" w:cstheme="minorHAnsi"/>
        </w:rPr>
        <w:t>:</w:t>
      </w:r>
      <w:r w:rsidR="00C153C9" w:rsidRPr="00C153C9">
        <w:rPr>
          <w:rFonts w:eastAsia="Calibri" w:cstheme="minorHAnsi"/>
        </w:rPr>
        <w:t xml:space="preserve"> 675–697.</w:t>
      </w:r>
    </w:p>
    <w:p w:rsidR="006A0A95" w:rsidRDefault="006A0A95" w:rsidP="00134A4E">
      <w:pPr>
        <w:spacing w:line="480" w:lineRule="auto"/>
        <w:ind w:left="720" w:hanging="720"/>
        <w:jc w:val="both"/>
        <w:rPr>
          <w:rFonts w:eastAsia="Calibri" w:cstheme="minorHAnsi"/>
        </w:rPr>
      </w:pPr>
      <w:r w:rsidRPr="006A0A95">
        <w:rPr>
          <w:rFonts w:eastAsia="Calibri" w:cstheme="minorHAnsi"/>
        </w:rPr>
        <w:lastRenderedPageBreak/>
        <w:t>Gordoa, A., Carreras, G. (2014) Determination of Temporal Spawning Patterns and Hatching Time in Response to Temperature of Atlantic Bluefin Tuna (</w:t>
      </w:r>
      <w:r w:rsidRPr="006A0A95">
        <w:rPr>
          <w:rFonts w:eastAsia="Calibri" w:cstheme="minorHAnsi"/>
          <w:i/>
        </w:rPr>
        <w:t>Thunnus thynnus</w:t>
      </w:r>
      <w:r w:rsidRPr="006A0A95">
        <w:rPr>
          <w:rFonts w:eastAsia="Calibri" w:cstheme="minorHAnsi"/>
        </w:rPr>
        <w:t>) in the Western Mediterranean. PloS one 9</w:t>
      </w:r>
      <w:r w:rsidR="00C24774">
        <w:rPr>
          <w:rFonts w:eastAsia="Calibri" w:cstheme="minorHAnsi"/>
        </w:rPr>
        <w:t>:</w:t>
      </w:r>
      <w:r w:rsidRPr="006A0A95">
        <w:rPr>
          <w:rFonts w:eastAsia="Calibri" w:cstheme="minorHAnsi"/>
        </w:rPr>
        <w:t xml:space="preserve"> e90691.</w:t>
      </w:r>
    </w:p>
    <w:p w:rsidR="00005AFA" w:rsidRDefault="00005AFA" w:rsidP="00134A4E">
      <w:pPr>
        <w:spacing w:line="480" w:lineRule="auto"/>
        <w:ind w:left="720" w:hanging="720"/>
        <w:jc w:val="both"/>
        <w:rPr>
          <w:rFonts w:eastAsia="Calibri" w:cstheme="minorHAnsi"/>
        </w:rPr>
      </w:pPr>
      <w:r w:rsidRPr="00005AFA">
        <w:rPr>
          <w:rFonts w:eastAsia="Calibri" w:cstheme="minorHAnsi"/>
        </w:rPr>
        <w:t>Griffies, Stephen M., Matthew J Harrison, Ronald C Pacanowski, Anthony Rosati, (2004) A Technical Guide to MOM4, GFDL Ocean Group Technical Report No. 5, Princeton, NJ: NOAA/Geophysical Fluid Dynamics Laboratory, 342 pp.</w:t>
      </w:r>
    </w:p>
    <w:p w:rsidR="00F0046C" w:rsidRDefault="00F0046C" w:rsidP="00134A4E">
      <w:pPr>
        <w:spacing w:line="480" w:lineRule="auto"/>
        <w:ind w:left="720" w:hanging="720"/>
        <w:jc w:val="both"/>
        <w:rPr>
          <w:rFonts w:eastAsia="Calibri" w:cstheme="minorHAnsi"/>
        </w:rPr>
      </w:pPr>
      <w:r w:rsidRPr="00F0046C">
        <w:rPr>
          <w:rFonts w:eastAsia="Calibri" w:cstheme="minorHAnsi"/>
        </w:rPr>
        <w:t>Hansen J</w:t>
      </w:r>
      <w:r w:rsidR="00C24774">
        <w:rPr>
          <w:rFonts w:eastAsia="Calibri" w:cstheme="minorHAnsi"/>
        </w:rPr>
        <w:t>.</w:t>
      </w:r>
      <w:r w:rsidRPr="00F0046C">
        <w:rPr>
          <w:rFonts w:eastAsia="Calibri" w:cstheme="minorHAnsi"/>
        </w:rPr>
        <w:t>, Sato M</w:t>
      </w:r>
      <w:r w:rsidR="00C24774">
        <w:rPr>
          <w:rFonts w:eastAsia="Calibri" w:cstheme="minorHAnsi"/>
        </w:rPr>
        <w:t>.</w:t>
      </w:r>
      <w:r w:rsidRPr="00F0046C">
        <w:rPr>
          <w:rFonts w:eastAsia="Calibri" w:cstheme="minorHAnsi"/>
        </w:rPr>
        <w:t>, Ruedy R</w:t>
      </w:r>
      <w:r w:rsidR="00C24774">
        <w:rPr>
          <w:rFonts w:eastAsia="Calibri" w:cstheme="minorHAnsi"/>
        </w:rPr>
        <w:t>.</w:t>
      </w:r>
      <w:r w:rsidRPr="00F0046C">
        <w:rPr>
          <w:rFonts w:eastAsia="Calibri" w:cstheme="minorHAnsi"/>
        </w:rPr>
        <w:t>, Lo K</w:t>
      </w:r>
      <w:r w:rsidR="00C24774">
        <w:rPr>
          <w:rFonts w:eastAsia="Calibri" w:cstheme="minorHAnsi"/>
        </w:rPr>
        <w:t>.</w:t>
      </w:r>
      <w:r w:rsidRPr="00F0046C">
        <w:rPr>
          <w:rFonts w:eastAsia="Calibri" w:cstheme="minorHAnsi"/>
        </w:rPr>
        <w:t>, Lea D</w:t>
      </w:r>
      <w:r w:rsidR="00C24774">
        <w:rPr>
          <w:rFonts w:eastAsia="Calibri" w:cstheme="minorHAnsi"/>
        </w:rPr>
        <w:t>.</w:t>
      </w:r>
      <w:r w:rsidRPr="00F0046C">
        <w:rPr>
          <w:rFonts w:eastAsia="Calibri" w:cstheme="minorHAnsi"/>
        </w:rPr>
        <w:t>W, Medina-Elizade M</w:t>
      </w:r>
      <w:r w:rsidR="00C24774">
        <w:rPr>
          <w:rFonts w:eastAsia="Calibri" w:cstheme="minorHAnsi"/>
        </w:rPr>
        <w:t>.</w:t>
      </w:r>
      <w:r w:rsidRPr="00F0046C">
        <w:rPr>
          <w:rFonts w:eastAsia="Calibri" w:cstheme="minorHAnsi"/>
        </w:rPr>
        <w:t xml:space="preserve"> (2006) Global temperature change. </w:t>
      </w:r>
      <w:r w:rsidR="00C24774">
        <w:rPr>
          <w:rFonts w:eastAsia="Calibri" w:cstheme="minorHAnsi"/>
        </w:rPr>
        <w:t>Proceedings of the National Academy of Sciences</w:t>
      </w:r>
      <w:r w:rsidRPr="00F0046C">
        <w:rPr>
          <w:rFonts w:eastAsia="Calibri" w:cstheme="minorHAnsi"/>
        </w:rPr>
        <w:t xml:space="preserve"> 103:</w:t>
      </w:r>
      <w:r w:rsidR="00C24774">
        <w:rPr>
          <w:rFonts w:eastAsia="Calibri" w:cstheme="minorHAnsi"/>
        </w:rPr>
        <w:t xml:space="preserve"> </w:t>
      </w:r>
      <w:r w:rsidRPr="00F0046C">
        <w:rPr>
          <w:rFonts w:eastAsia="Calibri" w:cstheme="minorHAnsi"/>
        </w:rPr>
        <w:t>14288–14293</w:t>
      </w:r>
      <w:r w:rsidR="00C24774">
        <w:rPr>
          <w:rFonts w:eastAsia="Calibri" w:cstheme="minorHAnsi"/>
        </w:rPr>
        <w:t>.</w:t>
      </w:r>
    </w:p>
    <w:p w:rsidR="00005AFA" w:rsidRDefault="00005AFA" w:rsidP="00134A4E">
      <w:pPr>
        <w:spacing w:line="480" w:lineRule="auto"/>
        <w:ind w:left="720" w:hanging="720"/>
        <w:jc w:val="both"/>
        <w:rPr>
          <w:rFonts w:eastAsia="Calibri" w:cstheme="minorHAnsi"/>
        </w:rPr>
      </w:pPr>
      <w:r w:rsidRPr="00005AFA">
        <w:rPr>
          <w:rFonts w:eastAsia="Calibri" w:cstheme="minorHAnsi"/>
        </w:rPr>
        <w:t>Hoegh-Guldberg</w:t>
      </w:r>
      <w:r w:rsidR="00C24774">
        <w:rPr>
          <w:rFonts w:eastAsia="Calibri" w:cstheme="minorHAnsi"/>
        </w:rPr>
        <w:t>,</w:t>
      </w:r>
      <w:r w:rsidRPr="00005AFA">
        <w:rPr>
          <w:rFonts w:eastAsia="Calibri" w:cstheme="minorHAnsi"/>
        </w:rPr>
        <w:t xml:space="preserve"> O</w:t>
      </w:r>
      <w:r w:rsidR="00C24774">
        <w:rPr>
          <w:rFonts w:eastAsia="Calibri" w:cstheme="minorHAnsi"/>
        </w:rPr>
        <w:t>.</w:t>
      </w:r>
      <w:r w:rsidRPr="00005AFA">
        <w:rPr>
          <w:rFonts w:eastAsia="Calibri" w:cstheme="minorHAnsi"/>
        </w:rPr>
        <w:t>, Mumby</w:t>
      </w:r>
      <w:r w:rsidR="00C24774">
        <w:rPr>
          <w:rFonts w:eastAsia="Calibri" w:cstheme="minorHAnsi"/>
        </w:rPr>
        <w:t>,</w:t>
      </w:r>
      <w:r w:rsidRPr="00005AFA">
        <w:rPr>
          <w:rFonts w:eastAsia="Calibri" w:cstheme="minorHAnsi"/>
        </w:rPr>
        <w:t xml:space="preserve"> P</w:t>
      </w:r>
      <w:r w:rsidR="00C24774">
        <w:rPr>
          <w:rFonts w:eastAsia="Calibri" w:cstheme="minorHAnsi"/>
        </w:rPr>
        <w:t>.</w:t>
      </w:r>
      <w:r w:rsidRPr="00005AFA">
        <w:rPr>
          <w:rFonts w:eastAsia="Calibri" w:cstheme="minorHAnsi"/>
        </w:rPr>
        <w:t>J</w:t>
      </w:r>
      <w:r w:rsidR="00C24774">
        <w:rPr>
          <w:rFonts w:eastAsia="Calibri" w:cstheme="minorHAnsi"/>
        </w:rPr>
        <w:t>.</w:t>
      </w:r>
      <w:r w:rsidRPr="00005AFA">
        <w:rPr>
          <w:rFonts w:eastAsia="Calibri" w:cstheme="minorHAnsi"/>
        </w:rPr>
        <w:t>, Hooten</w:t>
      </w:r>
      <w:r w:rsidR="00C24774">
        <w:rPr>
          <w:rFonts w:eastAsia="Calibri" w:cstheme="minorHAnsi"/>
        </w:rPr>
        <w:t>,</w:t>
      </w:r>
      <w:r w:rsidRPr="00005AFA">
        <w:rPr>
          <w:rFonts w:eastAsia="Calibri" w:cstheme="minorHAnsi"/>
        </w:rPr>
        <w:t xml:space="preserve"> A</w:t>
      </w:r>
      <w:r w:rsidR="00C24774">
        <w:rPr>
          <w:rFonts w:eastAsia="Calibri" w:cstheme="minorHAnsi"/>
        </w:rPr>
        <w:t>.</w:t>
      </w:r>
      <w:r w:rsidRPr="00005AFA">
        <w:rPr>
          <w:rFonts w:eastAsia="Calibri" w:cstheme="minorHAnsi"/>
        </w:rPr>
        <w:t>J</w:t>
      </w:r>
      <w:r w:rsidR="00C24774">
        <w:rPr>
          <w:rFonts w:eastAsia="Calibri" w:cstheme="minorHAnsi"/>
        </w:rPr>
        <w:t>.</w:t>
      </w:r>
      <w:r w:rsidRPr="00005AFA">
        <w:rPr>
          <w:rFonts w:eastAsia="Calibri" w:cstheme="minorHAnsi"/>
        </w:rPr>
        <w:t>, Steneck</w:t>
      </w:r>
      <w:r w:rsidR="00C24774">
        <w:rPr>
          <w:rFonts w:eastAsia="Calibri" w:cstheme="minorHAnsi"/>
        </w:rPr>
        <w:t>,</w:t>
      </w:r>
      <w:r w:rsidRPr="00005AFA">
        <w:rPr>
          <w:rFonts w:eastAsia="Calibri" w:cstheme="minorHAnsi"/>
        </w:rPr>
        <w:t xml:space="preserve"> R</w:t>
      </w:r>
      <w:r w:rsidR="00C24774">
        <w:rPr>
          <w:rFonts w:eastAsia="Calibri" w:cstheme="minorHAnsi"/>
        </w:rPr>
        <w:t>.</w:t>
      </w:r>
      <w:r w:rsidRPr="00005AFA">
        <w:rPr>
          <w:rFonts w:eastAsia="Calibri" w:cstheme="minorHAnsi"/>
        </w:rPr>
        <w:t>S</w:t>
      </w:r>
      <w:r w:rsidR="00C24774">
        <w:rPr>
          <w:rFonts w:eastAsia="Calibri" w:cstheme="minorHAnsi"/>
        </w:rPr>
        <w:t>.</w:t>
      </w:r>
      <w:r w:rsidRPr="00005AFA">
        <w:rPr>
          <w:rFonts w:eastAsia="Calibri" w:cstheme="minorHAnsi"/>
        </w:rPr>
        <w:t>, Greenfield</w:t>
      </w:r>
      <w:r w:rsidR="00C24774">
        <w:rPr>
          <w:rFonts w:eastAsia="Calibri" w:cstheme="minorHAnsi"/>
        </w:rPr>
        <w:t>,</w:t>
      </w:r>
      <w:r w:rsidRPr="00005AFA">
        <w:rPr>
          <w:rFonts w:eastAsia="Calibri" w:cstheme="minorHAnsi"/>
        </w:rPr>
        <w:t xml:space="preserve"> P</w:t>
      </w:r>
      <w:r w:rsidR="00C24774">
        <w:rPr>
          <w:rFonts w:eastAsia="Calibri" w:cstheme="minorHAnsi"/>
        </w:rPr>
        <w:t>., Gomez, E., Harvell, C.D., Sale, P.F., Edwards, A.J., Caldeira, K., Knowlton, N., Eakin, C.M., Iglesias-Prieto, R., Muthiga, N., Bradbury, R.H., Dubi, A., Hatziolos, M.E.</w:t>
      </w:r>
      <w:r w:rsidRPr="00005AFA">
        <w:rPr>
          <w:rFonts w:eastAsia="Calibri" w:cstheme="minorHAnsi"/>
        </w:rPr>
        <w:t xml:space="preserve"> (2007) Coral reefs under rapid climate change and ocean acidification. Science 318: 1737–1742.</w:t>
      </w:r>
    </w:p>
    <w:p w:rsidR="007D02D7" w:rsidRDefault="007D02D7" w:rsidP="00134A4E">
      <w:pPr>
        <w:spacing w:line="480" w:lineRule="auto"/>
        <w:ind w:left="720" w:hanging="720"/>
        <w:jc w:val="both"/>
        <w:rPr>
          <w:rFonts w:eastAsia="Calibri" w:cstheme="minorHAnsi"/>
        </w:rPr>
      </w:pPr>
      <w:r w:rsidRPr="008D4782">
        <w:rPr>
          <w:rFonts w:eastAsia="Calibri" w:cstheme="minorHAnsi"/>
        </w:rPr>
        <w:t>Jacobson</w:t>
      </w:r>
      <w:r>
        <w:rPr>
          <w:rFonts w:eastAsia="Calibri" w:cstheme="minorHAnsi"/>
        </w:rPr>
        <w:t xml:space="preserve">, L.D., </w:t>
      </w:r>
      <w:r w:rsidRPr="008D4782">
        <w:rPr>
          <w:rFonts w:eastAsia="Calibri" w:cstheme="minorHAnsi"/>
        </w:rPr>
        <w:t xml:space="preserve">MacCall, </w:t>
      </w:r>
      <w:r>
        <w:rPr>
          <w:rFonts w:eastAsia="Calibri" w:cstheme="minorHAnsi"/>
        </w:rPr>
        <w:t>A.D. (</w:t>
      </w:r>
      <w:r w:rsidRPr="008D4782">
        <w:rPr>
          <w:rFonts w:eastAsia="Calibri" w:cstheme="minorHAnsi"/>
        </w:rPr>
        <w:t>1995</w:t>
      </w:r>
      <w:r>
        <w:rPr>
          <w:rFonts w:eastAsia="Calibri" w:cstheme="minorHAnsi"/>
        </w:rPr>
        <w:t xml:space="preserve">) </w:t>
      </w:r>
      <w:r w:rsidRPr="00066AB7">
        <w:rPr>
          <w:rFonts w:eastAsia="Calibri" w:cstheme="minorHAnsi"/>
        </w:rPr>
        <w:t>Stock-recruitment models for Pacific sardine (</w:t>
      </w:r>
      <w:r w:rsidRPr="00066AB7">
        <w:rPr>
          <w:rFonts w:eastAsia="Calibri" w:cstheme="minorHAnsi"/>
          <w:i/>
        </w:rPr>
        <w:t>Sardinops sagax</w:t>
      </w:r>
      <w:r w:rsidRPr="00066AB7">
        <w:rPr>
          <w:rFonts w:eastAsia="Calibri" w:cstheme="minorHAnsi"/>
        </w:rPr>
        <w:t>)</w:t>
      </w:r>
      <w:r>
        <w:rPr>
          <w:rFonts w:eastAsia="Calibri" w:cstheme="minorHAnsi"/>
        </w:rPr>
        <w:t xml:space="preserve">. </w:t>
      </w:r>
      <w:r w:rsidR="003A6F15">
        <w:rPr>
          <w:rFonts w:eastAsia="Calibri" w:cstheme="minorHAnsi"/>
        </w:rPr>
        <w:t>Canadian Journal of Fisheries and Aquatic Science</w:t>
      </w:r>
      <w:r>
        <w:rPr>
          <w:rFonts w:eastAsia="Calibri" w:cstheme="minorHAnsi"/>
        </w:rPr>
        <w:t xml:space="preserve"> 52: 566-577.</w:t>
      </w:r>
      <w:r w:rsidRPr="008D4782">
        <w:rPr>
          <w:rFonts w:eastAsia="Calibri" w:cstheme="minorHAnsi"/>
        </w:rPr>
        <w:t xml:space="preserve"> </w:t>
      </w:r>
    </w:p>
    <w:p w:rsidR="009B6CD0" w:rsidRDefault="009B6CD0" w:rsidP="00134A4E">
      <w:pPr>
        <w:widowControl w:val="0"/>
        <w:autoSpaceDE w:val="0"/>
        <w:autoSpaceDN w:val="0"/>
        <w:adjustRightInd w:val="0"/>
        <w:spacing w:line="480" w:lineRule="auto"/>
        <w:ind w:left="720" w:hanging="720"/>
        <w:jc w:val="both"/>
        <w:rPr>
          <w:rFonts w:eastAsia="Calibri" w:cstheme="minorHAnsi"/>
        </w:rPr>
      </w:pPr>
      <w:r w:rsidRPr="009B6CD0">
        <w:rPr>
          <w:rFonts w:eastAsia="Calibri" w:cstheme="minorHAnsi"/>
        </w:rPr>
        <w:t>Jusup, M., Klanjscek, T., Matsuda, H., Kooijman, S.A.L.M. (2011) A full lifecycle bioenergetic model for bluefin tuna. PloS one 6</w:t>
      </w:r>
      <w:r w:rsidR="003A6F15">
        <w:rPr>
          <w:rFonts w:eastAsia="Calibri" w:cstheme="minorHAnsi"/>
        </w:rPr>
        <w:t>:</w:t>
      </w:r>
      <w:r w:rsidRPr="009B6CD0">
        <w:rPr>
          <w:rFonts w:eastAsia="Calibri" w:cstheme="minorHAnsi"/>
        </w:rPr>
        <w:t xml:space="preserve"> e21903.</w:t>
      </w:r>
    </w:p>
    <w:p w:rsidR="009B6CD0" w:rsidRDefault="009B6CD0" w:rsidP="00134A4E">
      <w:pPr>
        <w:widowControl w:val="0"/>
        <w:autoSpaceDE w:val="0"/>
        <w:autoSpaceDN w:val="0"/>
        <w:adjustRightInd w:val="0"/>
        <w:spacing w:line="480" w:lineRule="auto"/>
        <w:ind w:left="720" w:hanging="720"/>
        <w:jc w:val="both"/>
        <w:rPr>
          <w:rFonts w:eastAsia="Calibri" w:cstheme="minorHAnsi"/>
        </w:rPr>
      </w:pPr>
      <w:r w:rsidRPr="009B6CD0">
        <w:rPr>
          <w:rFonts w:eastAsia="Calibri" w:cstheme="minorHAnsi"/>
        </w:rPr>
        <w:t>Knapp, J. M., Aranda, G., Medina, A., Lutcavage, M. (2014) Comparative Assessment of the Reproductive Status of Female Atlantic Bluefin Tuna from the Gulf of Mexico and the Mediterranean Sea. PloS one 9</w:t>
      </w:r>
      <w:r w:rsidR="003A6F15">
        <w:rPr>
          <w:rFonts w:eastAsia="Calibri" w:cstheme="minorHAnsi"/>
        </w:rPr>
        <w:t>:</w:t>
      </w:r>
      <w:r w:rsidRPr="009B6CD0">
        <w:rPr>
          <w:rFonts w:eastAsia="Calibri" w:cstheme="minorHAnsi"/>
        </w:rPr>
        <w:t xml:space="preserve"> e98233.</w:t>
      </w:r>
    </w:p>
    <w:p w:rsidR="002451D5" w:rsidRDefault="002451D5" w:rsidP="00134A4E">
      <w:pPr>
        <w:widowControl w:val="0"/>
        <w:autoSpaceDE w:val="0"/>
        <w:autoSpaceDN w:val="0"/>
        <w:adjustRightInd w:val="0"/>
        <w:spacing w:line="480" w:lineRule="auto"/>
        <w:ind w:left="720" w:hanging="720"/>
        <w:jc w:val="both"/>
        <w:rPr>
          <w:rFonts w:eastAsia="Calibri" w:cstheme="minorHAnsi"/>
        </w:rPr>
      </w:pPr>
      <w:r w:rsidRPr="002451D5">
        <w:rPr>
          <w:rFonts w:eastAsia="Calibri" w:cstheme="minorHAnsi"/>
        </w:rPr>
        <w:t>Lindo-Atichati</w:t>
      </w:r>
      <w:r w:rsidR="003A6F15">
        <w:rPr>
          <w:rFonts w:eastAsia="Calibri" w:cstheme="minorHAnsi"/>
        </w:rPr>
        <w:t>,</w:t>
      </w:r>
      <w:r w:rsidRPr="002451D5">
        <w:rPr>
          <w:rFonts w:eastAsia="Calibri" w:cstheme="minorHAnsi"/>
        </w:rPr>
        <w:t xml:space="preserve"> D</w:t>
      </w:r>
      <w:r w:rsidR="003A6F15">
        <w:rPr>
          <w:rFonts w:eastAsia="Calibri" w:cstheme="minorHAnsi"/>
        </w:rPr>
        <w:t>.</w:t>
      </w:r>
      <w:r w:rsidRPr="002451D5">
        <w:rPr>
          <w:rFonts w:eastAsia="Calibri" w:cstheme="minorHAnsi"/>
        </w:rPr>
        <w:t>, Bringas</w:t>
      </w:r>
      <w:r w:rsidR="003A6F15">
        <w:rPr>
          <w:rFonts w:eastAsia="Calibri" w:cstheme="minorHAnsi"/>
        </w:rPr>
        <w:t>,</w:t>
      </w:r>
      <w:r w:rsidRPr="002451D5">
        <w:rPr>
          <w:rFonts w:eastAsia="Calibri" w:cstheme="minorHAnsi"/>
        </w:rPr>
        <w:t xml:space="preserve"> F</w:t>
      </w:r>
      <w:r w:rsidR="003A6F15">
        <w:rPr>
          <w:rFonts w:eastAsia="Calibri" w:cstheme="minorHAnsi"/>
        </w:rPr>
        <w:t>.</w:t>
      </w:r>
      <w:r w:rsidRPr="002451D5">
        <w:rPr>
          <w:rFonts w:eastAsia="Calibri" w:cstheme="minorHAnsi"/>
        </w:rPr>
        <w:t>, Goni</w:t>
      </w:r>
      <w:r w:rsidR="003A6F15">
        <w:rPr>
          <w:rFonts w:eastAsia="Calibri" w:cstheme="minorHAnsi"/>
        </w:rPr>
        <w:t>,</w:t>
      </w:r>
      <w:r w:rsidRPr="002451D5">
        <w:rPr>
          <w:rFonts w:eastAsia="Calibri" w:cstheme="minorHAnsi"/>
        </w:rPr>
        <w:t xml:space="preserve"> G</w:t>
      </w:r>
      <w:r w:rsidR="003A6F15">
        <w:rPr>
          <w:rFonts w:eastAsia="Calibri" w:cstheme="minorHAnsi"/>
        </w:rPr>
        <w:t>.</w:t>
      </w:r>
      <w:r w:rsidRPr="002451D5">
        <w:rPr>
          <w:rFonts w:eastAsia="Calibri" w:cstheme="minorHAnsi"/>
        </w:rPr>
        <w:t>, Muhling</w:t>
      </w:r>
      <w:r w:rsidR="003A6F15">
        <w:rPr>
          <w:rFonts w:eastAsia="Calibri" w:cstheme="minorHAnsi"/>
        </w:rPr>
        <w:t>,</w:t>
      </w:r>
      <w:r w:rsidRPr="002451D5">
        <w:rPr>
          <w:rFonts w:eastAsia="Calibri" w:cstheme="minorHAnsi"/>
        </w:rPr>
        <w:t xml:space="preserve"> B</w:t>
      </w:r>
      <w:r w:rsidR="003A6F15">
        <w:rPr>
          <w:rFonts w:eastAsia="Calibri" w:cstheme="minorHAnsi"/>
        </w:rPr>
        <w:t>.</w:t>
      </w:r>
      <w:r w:rsidRPr="002451D5">
        <w:rPr>
          <w:rFonts w:eastAsia="Calibri" w:cstheme="minorHAnsi"/>
        </w:rPr>
        <w:t>, Muller-Karger</w:t>
      </w:r>
      <w:r w:rsidR="003A6F15">
        <w:rPr>
          <w:rFonts w:eastAsia="Calibri" w:cstheme="minorHAnsi"/>
        </w:rPr>
        <w:t>,</w:t>
      </w:r>
      <w:r w:rsidRPr="002451D5">
        <w:rPr>
          <w:rFonts w:eastAsia="Calibri" w:cstheme="minorHAnsi"/>
        </w:rPr>
        <w:t xml:space="preserve"> F</w:t>
      </w:r>
      <w:r w:rsidR="003A6F15">
        <w:rPr>
          <w:rFonts w:eastAsia="Calibri" w:cstheme="minorHAnsi"/>
        </w:rPr>
        <w:t>.</w:t>
      </w:r>
      <w:r w:rsidRPr="002451D5">
        <w:rPr>
          <w:rFonts w:eastAsia="Calibri" w:cstheme="minorHAnsi"/>
        </w:rPr>
        <w:t>E</w:t>
      </w:r>
      <w:r w:rsidR="003A6F15">
        <w:rPr>
          <w:rFonts w:eastAsia="Calibri" w:cstheme="minorHAnsi"/>
        </w:rPr>
        <w:t>.</w:t>
      </w:r>
      <w:r w:rsidRPr="002451D5">
        <w:rPr>
          <w:rFonts w:eastAsia="Calibri" w:cstheme="minorHAnsi"/>
        </w:rPr>
        <w:t>, Habtes</w:t>
      </w:r>
      <w:r w:rsidR="003A6F15">
        <w:rPr>
          <w:rFonts w:eastAsia="Calibri" w:cstheme="minorHAnsi"/>
        </w:rPr>
        <w:t>,</w:t>
      </w:r>
      <w:r w:rsidRPr="002451D5">
        <w:rPr>
          <w:rFonts w:eastAsia="Calibri" w:cstheme="minorHAnsi"/>
        </w:rPr>
        <w:t xml:space="preserve"> S</w:t>
      </w:r>
      <w:r w:rsidR="003A6F15">
        <w:rPr>
          <w:rFonts w:eastAsia="Calibri" w:cstheme="minorHAnsi"/>
        </w:rPr>
        <w:t>.</w:t>
      </w:r>
      <w:r w:rsidRPr="002451D5">
        <w:rPr>
          <w:rFonts w:eastAsia="Calibri" w:cstheme="minorHAnsi"/>
        </w:rPr>
        <w:t xml:space="preserve"> (2012) Varying mesoscale structures influence larval fish distribution in the northern Gulf of Mexico. </w:t>
      </w:r>
      <w:r w:rsidR="003A6F15">
        <w:rPr>
          <w:rFonts w:eastAsia="Calibri" w:cstheme="minorHAnsi"/>
        </w:rPr>
        <w:t>Marine Ecology Progress Series</w:t>
      </w:r>
      <w:r w:rsidRPr="002451D5">
        <w:rPr>
          <w:rFonts w:eastAsia="Calibri" w:cstheme="minorHAnsi"/>
        </w:rPr>
        <w:t xml:space="preserve"> 463: 245-257.</w:t>
      </w:r>
    </w:p>
    <w:p w:rsidR="004C1049" w:rsidRDefault="004C1049" w:rsidP="00134A4E">
      <w:pPr>
        <w:widowControl w:val="0"/>
        <w:autoSpaceDE w:val="0"/>
        <w:autoSpaceDN w:val="0"/>
        <w:adjustRightInd w:val="0"/>
        <w:spacing w:line="480" w:lineRule="auto"/>
        <w:ind w:left="720" w:hanging="720"/>
        <w:jc w:val="both"/>
        <w:rPr>
          <w:rFonts w:eastAsia="Calibri" w:cstheme="minorHAnsi"/>
        </w:rPr>
      </w:pPr>
      <w:r w:rsidRPr="004C1049">
        <w:rPr>
          <w:rFonts w:eastAsia="Calibri" w:cstheme="minorHAnsi"/>
        </w:rPr>
        <w:t xml:space="preserve">Liu, Y., Lee, S. K., Muhling, B. A., Lamkin, J. T., Enfield, D. B. (2012) Significant reduction of </w:t>
      </w:r>
      <w:r w:rsidRPr="004C1049">
        <w:rPr>
          <w:rFonts w:eastAsia="Calibri" w:cstheme="minorHAnsi"/>
        </w:rPr>
        <w:lastRenderedPageBreak/>
        <w:t>the Loop Current in the 21st century and its impact on the Gulf of Mexico. Journal of Geophysical Research: Oceans (1978–2012), 117(C5).</w:t>
      </w:r>
    </w:p>
    <w:p w:rsidR="00F0046C" w:rsidRDefault="00F0046C" w:rsidP="00134A4E">
      <w:pPr>
        <w:widowControl w:val="0"/>
        <w:autoSpaceDE w:val="0"/>
        <w:autoSpaceDN w:val="0"/>
        <w:adjustRightInd w:val="0"/>
        <w:spacing w:line="480" w:lineRule="auto"/>
        <w:ind w:left="720" w:hanging="720"/>
        <w:jc w:val="both"/>
        <w:rPr>
          <w:rFonts w:eastAsia="Calibri" w:cstheme="minorHAnsi"/>
        </w:rPr>
      </w:pPr>
      <w:r w:rsidRPr="00F0046C">
        <w:rPr>
          <w:rFonts w:eastAsia="Calibri" w:cstheme="minorHAnsi"/>
        </w:rPr>
        <w:t>Lyczkowski-Shultz J, Hanisko DS (2007) A time series of observations on Red Snapper larvae from SEAMAP surveys, 1982-2003: Seasonal occurrence, distribution, abundance and size. Pages 3-23 in Patterson WF III, Cowan JH Jr, Fitzhugh GR, Nieland DL (eds) Red Snapper Ecology and Fisheries in the U.S. Gulf of Mexico. American Fisheries Society, Symposium 60, Bethesda, Maryland</w:t>
      </w:r>
    </w:p>
    <w:p w:rsidR="000324E7" w:rsidRDefault="000324E7" w:rsidP="00134A4E">
      <w:pPr>
        <w:widowControl w:val="0"/>
        <w:autoSpaceDE w:val="0"/>
        <w:autoSpaceDN w:val="0"/>
        <w:adjustRightInd w:val="0"/>
        <w:spacing w:line="480" w:lineRule="auto"/>
        <w:ind w:left="720" w:hanging="720"/>
        <w:jc w:val="both"/>
        <w:rPr>
          <w:rFonts w:eastAsia="Calibri" w:cstheme="minorHAnsi"/>
        </w:rPr>
      </w:pPr>
      <w:r w:rsidRPr="000324E7">
        <w:rPr>
          <w:rFonts w:eastAsia="Calibri" w:cstheme="minorHAnsi"/>
        </w:rPr>
        <w:t xml:space="preserve">Medina, A., Abascal, F.J., Megina, C., Garcia, A. (2002) Stereological assessment of the reproductive status of female Atlantic northern bluefin tuna during migration to Mediterranean spawning grounds through the Strait of Gibraltar. </w:t>
      </w:r>
      <w:r w:rsidR="003A6F15">
        <w:rPr>
          <w:rFonts w:eastAsia="Calibri" w:cstheme="minorHAnsi"/>
        </w:rPr>
        <w:t>Journal of Fish Biology</w:t>
      </w:r>
      <w:r w:rsidRPr="000324E7">
        <w:rPr>
          <w:rFonts w:eastAsia="Calibri" w:cstheme="minorHAnsi"/>
        </w:rPr>
        <w:t xml:space="preserve"> 60: 230-217.</w:t>
      </w:r>
    </w:p>
    <w:p w:rsidR="004D3CD5" w:rsidRDefault="004D3CD5" w:rsidP="00134A4E">
      <w:pPr>
        <w:widowControl w:val="0"/>
        <w:autoSpaceDE w:val="0"/>
        <w:autoSpaceDN w:val="0"/>
        <w:adjustRightInd w:val="0"/>
        <w:spacing w:line="480" w:lineRule="auto"/>
        <w:ind w:left="720" w:hanging="720"/>
        <w:jc w:val="both"/>
        <w:rPr>
          <w:rFonts w:eastAsia="Calibri" w:cstheme="minorHAnsi"/>
        </w:rPr>
      </w:pPr>
      <w:r w:rsidRPr="004D3CD5">
        <w:rPr>
          <w:rFonts w:eastAsia="Calibri" w:cstheme="minorHAnsi"/>
        </w:rPr>
        <w:t xml:space="preserve">Miyashita, S., Yuji, T., Yoshifumi, S., Osamu, M., Nobuhiro, H., Kenji, T., Toshio, M. (2000) Embryonic development and effects of water temperature on hatching of the bluefin tuna, </w:t>
      </w:r>
      <w:r w:rsidRPr="004D3CD5">
        <w:rPr>
          <w:rFonts w:eastAsia="Calibri" w:cstheme="minorHAnsi"/>
          <w:i/>
        </w:rPr>
        <w:t>Thunnus thynnus</w:t>
      </w:r>
      <w:r w:rsidRPr="004D3CD5">
        <w:rPr>
          <w:rFonts w:eastAsia="Calibri" w:cstheme="minorHAnsi"/>
        </w:rPr>
        <w:t>. Suisan Zoshoku 48: 199-207.</w:t>
      </w:r>
    </w:p>
    <w:p w:rsidR="002451D5" w:rsidRPr="002451D5" w:rsidRDefault="002451D5" w:rsidP="00134A4E">
      <w:pPr>
        <w:widowControl w:val="0"/>
        <w:autoSpaceDE w:val="0"/>
        <w:autoSpaceDN w:val="0"/>
        <w:adjustRightInd w:val="0"/>
        <w:spacing w:line="480" w:lineRule="auto"/>
        <w:ind w:left="720" w:hanging="720"/>
        <w:jc w:val="both"/>
        <w:rPr>
          <w:rFonts w:eastAsia="Calibri" w:cstheme="minorHAnsi"/>
        </w:rPr>
      </w:pPr>
      <w:r w:rsidRPr="002451D5">
        <w:rPr>
          <w:rFonts w:eastAsia="Calibri" w:cstheme="minorHAnsi"/>
        </w:rPr>
        <w:t>Muhling</w:t>
      </w:r>
      <w:r w:rsidR="003A6F15">
        <w:rPr>
          <w:rFonts w:eastAsia="Calibri" w:cstheme="minorHAnsi"/>
        </w:rPr>
        <w:t>,</w:t>
      </w:r>
      <w:r w:rsidRPr="002451D5">
        <w:rPr>
          <w:rFonts w:eastAsia="Calibri" w:cstheme="minorHAnsi"/>
        </w:rPr>
        <w:t xml:space="preserve"> B</w:t>
      </w:r>
      <w:r w:rsidR="003A6F15">
        <w:rPr>
          <w:rFonts w:eastAsia="Calibri" w:cstheme="minorHAnsi"/>
        </w:rPr>
        <w:t>.</w:t>
      </w:r>
      <w:r w:rsidRPr="002451D5">
        <w:rPr>
          <w:rFonts w:eastAsia="Calibri" w:cstheme="minorHAnsi"/>
        </w:rPr>
        <w:t>A</w:t>
      </w:r>
      <w:r w:rsidR="003A6F15">
        <w:rPr>
          <w:rFonts w:eastAsia="Calibri" w:cstheme="minorHAnsi"/>
        </w:rPr>
        <w:t>.</w:t>
      </w:r>
      <w:r w:rsidRPr="002451D5">
        <w:rPr>
          <w:rFonts w:eastAsia="Calibri" w:cstheme="minorHAnsi"/>
        </w:rPr>
        <w:t>, Lamkin</w:t>
      </w:r>
      <w:r w:rsidR="003A6F15">
        <w:rPr>
          <w:rFonts w:eastAsia="Calibri" w:cstheme="minorHAnsi"/>
        </w:rPr>
        <w:t>,</w:t>
      </w:r>
      <w:r w:rsidRPr="002451D5">
        <w:rPr>
          <w:rFonts w:eastAsia="Calibri" w:cstheme="minorHAnsi"/>
        </w:rPr>
        <w:t xml:space="preserve"> J</w:t>
      </w:r>
      <w:r w:rsidR="003A6F15">
        <w:rPr>
          <w:rFonts w:eastAsia="Calibri" w:cstheme="minorHAnsi"/>
        </w:rPr>
        <w:t>.</w:t>
      </w:r>
      <w:r w:rsidRPr="002451D5">
        <w:rPr>
          <w:rFonts w:eastAsia="Calibri" w:cstheme="minorHAnsi"/>
        </w:rPr>
        <w:t>T</w:t>
      </w:r>
      <w:r w:rsidR="003A6F15">
        <w:rPr>
          <w:rFonts w:eastAsia="Calibri" w:cstheme="minorHAnsi"/>
        </w:rPr>
        <w:t>.</w:t>
      </w:r>
      <w:r w:rsidRPr="002451D5">
        <w:rPr>
          <w:rFonts w:eastAsia="Calibri" w:cstheme="minorHAnsi"/>
        </w:rPr>
        <w:t>, Roffer</w:t>
      </w:r>
      <w:r w:rsidR="003A6F15">
        <w:rPr>
          <w:rFonts w:eastAsia="Calibri" w:cstheme="minorHAnsi"/>
        </w:rPr>
        <w:t>,</w:t>
      </w:r>
      <w:r w:rsidRPr="002451D5">
        <w:rPr>
          <w:rFonts w:eastAsia="Calibri" w:cstheme="minorHAnsi"/>
        </w:rPr>
        <w:t xml:space="preserve"> M</w:t>
      </w:r>
      <w:r w:rsidR="003A6F15">
        <w:rPr>
          <w:rFonts w:eastAsia="Calibri" w:cstheme="minorHAnsi"/>
        </w:rPr>
        <w:t>.</w:t>
      </w:r>
      <w:r w:rsidRPr="002451D5">
        <w:rPr>
          <w:rFonts w:eastAsia="Calibri" w:cstheme="minorHAnsi"/>
        </w:rPr>
        <w:t>A</w:t>
      </w:r>
      <w:r w:rsidR="003A6F15">
        <w:rPr>
          <w:rFonts w:eastAsia="Calibri" w:cstheme="minorHAnsi"/>
        </w:rPr>
        <w:t>.</w:t>
      </w:r>
      <w:r w:rsidRPr="002451D5">
        <w:rPr>
          <w:rFonts w:eastAsia="Calibri" w:cstheme="minorHAnsi"/>
        </w:rPr>
        <w:t xml:space="preserve"> (2010) Predicting the occurrence of bluefin tuna (</w:t>
      </w:r>
      <w:r w:rsidRPr="002451D5">
        <w:rPr>
          <w:rFonts w:eastAsia="Calibri" w:cstheme="minorHAnsi"/>
          <w:i/>
        </w:rPr>
        <w:t>Thunnus thynnus</w:t>
      </w:r>
      <w:r w:rsidRPr="002451D5">
        <w:rPr>
          <w:rFonts w:eastAsia="Calibri" w:cstheme="minorHAnsi"/>
        </w:rPr>
        <w:t xml:space="preserve">) larvae in the northern Gulf of Mexico: Building a classification model from archival data. </w:t>
      </w:r>
      <w:r w:rsidR="003A6F15">
        <w:rPr>
          <w:rFonts w:eastAsia="Calibri" w:cstheme="minorHAnsi"/>
        </w:rPr>
        <w:t>Fisheries Oceanography</w:t>
      </w:r>
      <w:r w:rsidRPr="002451D5">
        <w:rPr>
          <w:rFonts w:eastAsia="Calibri" w:cstheme="minorHAnsi"/>
        </w:rPr>
        <w:t xml:space="preserve"> 19: 526-539.</w:t>
      </w:r>
    </w:p>
    <w:p w:rsidR="00EE1E25" w:rsidRDefault="00EE1E25" w:rsidP="00134A4E">
      <w:pPr>
        <w:widowControl w:val="0"/>
        <w:autoSpaceDE w:val="0"/>
        <w:autoSpaceDN w:val="0"/>
        <w:adjustRightInd w:val="0"/>
        <w:spacing w:line="480" w:lineRule="auto"/>
        <w:ind w:left="720" w:hanging="720"/>
        <w:jc w:val="both"/>
        <w:rPr>
          <w:rFonts w:eastAsia="Calibri" w:cstheme="minorHAnsi"/>
        </w:rPr>
      </w:pPr>
      <w:r w:rsidRPr="00EE1E25">
        <w:rPr>
          <w:rFonts w:eastAsia="Calibri" w:cstheme="minorHAnsi"/>
        </w:rPr>
        <w:t xml:space="preserve">Muhling, B. A., Lee, </w:t>
      </w:r>
      <w:r w:rsidR="003A6F15" w:rsidRPr="00EE1E25">
        <w:rPr>
          <w:rFonts w:eastAsia="Calibri" w:cstheme="minorHAnsi"/>
        </w:rPr>
        <w:t xml:space="preserve">S.-K. </w:t>
      </w:r>
      <w:r w:rsidRPr="00EE1E25">
        <w:rPr>
          <w:rFonts w:eastAsia="Calibri" w:cstheme="minorHAnsi"/>
        </w:rPr>
        <w:t xml:space="preserve">Lamkin, </w:t>
      </w:r>
      <w:r w:rsidR="003A6F15" w:rsidRPr="00EE1E25">
        <w:rPr>
          <w:rFonts w:eastAsia="Calibri" w:cstheme="minorHAnsi"/>
        </w:rPr>
        <w:t xml:space="preserve">J. T. </w:t>
      </w:r>
      <w:r w:rsidRPr="00EE1E25">
        <w:rPr>
          <w:rFonts w:eastAsia="Calibri" w:cstheme="minorHAnsi"/>
        </w:rPr>
        <w:t>Liu</w:t>
      </w:r>
      <w:r w:rsidR="003A6F15">
        <w:rPr>
          <w:rFonts w:eastAsia="Calibri" w:cstheme="minorHAnsi"/>
        </w:rPr>
        <w:t>,</w:t>
      </w:r>
      <w:r w:rsidRPr="00EE1E25">
        <w:rPr>
          <w:rFonts w:eastAsia="Calibri" w:cstheme="minorHAnsi"/>
        </w:rPr>
        <w:t xml:space="preserve"> </w:t>
      </w:r>
      <w:r w:rsidR="003A6F15" w:rsidRPr="00EE1E25">
        <w:rPr>
          <w:rFonts w:eastAsia="Calibri" w:cstheme="minorHAnsi"/>
        </w:rPr>
        <w:t xml:space="preserve">Y. </w:t>
      </w:r>
      <w:r w:rsidRPr="00EE1E25">
        <w:rPr>
          <w:rFonts w:eastAsia="Calibri" w:cstheme="minorHAnsi"/>
        </w:rPr>
        <w:t>(2011) Predicting the effects of climate change on bluefin tuna (</w:t>
      </w:r>
      <w:r w:rsidRPr="00EE1E25">
        <w:rPr>
          <w:rFonts w:eastAsia="Calibri" w:cstheme="minorHAnsi"/>
          <w:i/>
        </w:rPr>
        <w:t>Thunnus thynnus</w:t>
      </w:r>
      <w:r w:rsidRPr="00EE1E25">
        <w:rPr>
          <w:rFonts w:eastAsia="Calibri" w:cstheme="minorHAnsi"/>
        </w:rPr>
        <w:t xml:space="preserve">) spawning habitat in the Gulf of Mexico, </w:t>
      </w:r>
      <w:r w:rsidR="003A6F15">
        <w:rPr>
          <w:rFonts w:eastAsia="Calibri" w:cstheme="minorHAnsi"/>
        </w:rPr>
        <w:t xml:space="preserve">ICES Journal of Marine Science </w:t>
      </w:r>
      <w:r w:rsidRPr="00EE1E25">
        <w:rPr>
          <w:rFonts w:eastAsia="Calibri" w:cstheme="minorHAnsi"/>
        </w:rPr>
        <w:t>68, 1051–1062.</w:t>
      </w:r>
    </w:p>
    <w:p w:rsidR="002451D5" w:rsidRDefault="002451D5" w:rsidP="00134A4E">
      <w:pPr>
        <w:widowControl w:val="0"/>
        <w:autoSpaceDE w:val="0"/>
        <w:autoSpaceDN w:val="0"/>
        <w:adjustRightInd w:val="0"/>
        <w:spacing w:line="480" w:lineRule="auto"/>
        <w:ind w:left="720" w:hanging="720"/>
        <w:jc w:val="both"/>
        <w:rPr>
          <w:rFonts w:eastAsia="Calibri" w:cstheme="minorHAnsi"/>
        </w:rPr>
      </w:pPr>
      <w:r w:rsidRPr="002451D5">
        <w:rPr>
          <w:rFonts w:eastAsia="Calibri" w:cstheme="minorHAnsi"/>
        </w:rPr>
        <w:t>Muhling</w:t>
      </w:r>
      <w:r w:rsidR="003A6F15">
        <w:rPr>
          <w:rFonts w:eastAsia="Calibri" w:cstheme="minorHAnsi"/>
        </w:rPr>
        <w:t>,</w:t>
      </w:r>
      <w:r w:rsidRPr="002451D5">
        <w:rPr>
          <w:rFonts w:eastAsia="Calibri" w:cstheme="minorHAnsi"/>
        </w:rPr>
        <w:t xml:space="preserve"> B</w:t>
      </w:r>
      <w:r w:rsidR="003A6F15">
        <w:rPr>
          <w:rFonts w:eastAsia="Calibri" w:cstheme="minorHAnsi"/>
        </w:rPr>
        <w:t>.</w:t>
      </w:r>
      <w:r w:rsidRPr="002451D5">
        <w:rPr>
          <w:rFonts w:eastAsia="Calibri" w:cstheme="minorHAnsi"/>
        </w:rPr>
        <w:t>A</w:t>
      </w:r>
      <w:r w:rsidR="003A6F15">
        <w:rPr>
          <w:rFonts w:eastAsia="Calibri" w:cstheme="minorHAnsi"/>
        </w:rPr>
        <w:t>.</w:t>
      </w:r>
      <w:r w:rsidRPr="002451D5">
        <w:rPr>
          <w:rFonts w:eastAsia="Calibri" w:cstheme="minorHAnsi"/>
        </w:rPr>
        <w:t>, Roffer</w:t>
      </w:r>
      <w:r w:rsidR="003A6F15">
        <w:rPr>
          <w:rFonts w:eastAsia="Calibri" w:cstheme="minorHAnsi"/>
        </w:rPr>
        <w:t>,</w:t>
      </w:r>
      <w:r w:rsidRPr="002451D5">
        <w:rPr>
          <w:rFonts w:eastAsia="Calibri" w:cstheme="minorHAnsi"/>
        </w:rPr>
        <w:t xml:space="preserve"> M</w:t>
      </w:r>
      <w:r w:rsidR="003A6F15">
        <w:rPr>
          <w:rFonts w:eastAsia="Calibri" w:cstheme="minorHAnsi"/>
        </w:rPr>
        <w:t>.</w:t>
      </w:r>
      <w:r w:rsidRPr="002451D5">
        <w:rPr>
          <w:rFonts w:eastAsia="Calibri" w:cstheme="minorHAnsi"/>
        </w:rPr>
        <w:t>A</w:t>
      </w:r>
      <w:r w:rsidR="003A6F15">
        <w:rPr>
          <w:rFonts w:eastAsia="Calibri" w:cstheme="minorHAnsi"/>
        </w:rPr>
        <w:t>.</w:t>
      </w:r>
      <w:r w:rsidRPr="002451D5">
        <w:rPr>
          <w:rFonts w:eastAsia="Calibri" w:cstheme="minorHAnsi"/>
        </w:rPr>
        <w:t>, Lamkin</w:t>
      </w:r>
      <w:r w:rsidR="003A6F15">
        <w:rPr>
          <w:rFonts w:eastAsia="Calibri" w:cstheme="minorHAnsi"/>
        </w:rPr>
        <w:t>,</w:t>
      </w:r>
      <w:r w:rsidRPr="002451D5">
        <w:rPr>
          <w:rFonts w:eastAsia="Calibri" w:cstheme="minorHAnsi"/>
        </w:rPr>
        <w:t xml:space="preserve"> J</w:t>
      </w:r>
      <w:r w:rsidR="003A6F15">
        <w:rPr>
          <w:rFonts w:eastAsia="Calibri" w:cstheme="minorHAnsi"/>
        </w:rPr>
        <w:t>.</w:t>
      </w:r>
      <w:r w:rsidRPr="002451D5">
        <w:rPr>
          <w:rFonts w:eastAsia="Calibri" w:cstheme="minorHAnsi"/>
        </w:rPr>
        <w:t>T</w:t>
      </w:r>
      <w:r w:rsidR="003A6F15">
        <w:rPr>
          <w:rFonts w:eastAsia="Calibri" w:cstheme="minorHAnsi"/>
        </w:rPr>
        <w:t>.</w:t>
      </w:r>
      <w:r w:rsidRPr="002451D5">
        <w:rPr>
          <w:rFonts w:eastAsia="Calibri" w:cstheme="minorHAnsi"/>
        </w:rPr>
        <w:t>, Ingram</w:t>
      </w:r>
      <w:r w:rsidR="003A6F15">
        <w:rPr>
          <w:rFonts w:eastAsia="Calibri" w:cstheme="minorHAnsi"/>
        </w:rPr>
        <w:t>,</w:t>
      </w:r>
      <w:r w:rsidRPr="002451D5">
        <w:rPr>
          <w:rFonts w:eastAsia="Calibri" w:cstheme="minorHAnsi"/>
        </w:rPr>
        <w:t xml:space="preserve"> G</w:t>
      </w:r>
      <w:r w:rsidR="003A6F15">
        <w:rPr>
          <w:rFonts w:eastAsia="Calibri" w:cstheme="minorHAnsi"/>
        </w:rPr>
        <w:t>.</w:t>
      </w:r>
      <w:r w:rsidRPr="002451D5">
        <w:rPr>
          <w:rFonts w:eastAsia="Calibri" w:cstheme="minorHAnsi"/>
        </w:rPr>
        <w:t>W</w:t>
      </w:r>
      <w:r w:rsidR="003A6F15">
        <w:rPr>
          <w:rFonts w:eastAsia="Calibri" w:cstheme="minorHAnsi"/>
        </w:rPr>
        <w:t>.</w:t>
      </w:r>
      <w:r w:rsidRPr="002451D5">
        <w:rPr>
          <w:rFonts w:eastAsia="Calibri" w:cstheme="minorHAnsi"/>
        </w:rPr>
        <w:t xml:space="preserve"> Jr, Upton</w:t>
      </w:r>
      <w:r w:rsidR="003A6F15">
        <w:rPr>
          <w:rFonts w:eastAsia="Calibri" w:cstheme="minorHAnsi"/>
        </w:rPr>
        <w:t>,</w:t>
      </w:r>
      <w:r w:rsidRPr="002451D5">
        <w:rPr>
          <w:rFonts w:eastAsia="Calibri" w:cstheme="minorHAnsi"/>
        </w:rPr>
        <w:t xml:space="preserve"> M</w:t>
      </w:r>
      <w:r w:rsidR="003A6F15">
        <w:rPr>
          <w:rFonts w:eastAsia="Calibri" w:cstheme="minorHAnsi"/>
        </w:rPr>
        <w:t>.</w:t>
      </w:r>
      <w:r w:rsidRPr="002451D5">
        <w:rPr>
          <w:rFonts w:eastAsia="Calibri" w:cstheme="minorHAnsi"/>
        </w:rPr>
        <w:t>A</w:t>
      </w:r>
      <w:r w:rsidR="003A6F15">
        <w:rPr>
          <w:rFonts w:eastAsia="Calibri" w:cstheme="minorHAnsi"/>
        </w:rPr>
        <w:t>.</w:t>
      </w:r>
      <w:r w:rsidRPr="002451D5">
        <w:rPr>
          <w:rFonts w:eastAsia="Calibri" w:cstheme="minorHAnsi"/>
        </w:rPr>
        <w:t>, Gawlikowski</w:t>
      </w:r>
      <w:r w:rsidR="003A6F15">
        <w:rPr>
          <w:rFonts w:eastAsia="Calibri" w:cstheme="minorHAnsi"/>
        </w:rPr>
        <w:t>,</w:t>
      </w:r>
      <w:r w:rsidRPr="002451D5">
        <w:rPr>
          <w:rFonts w:eastAsia="Calibri" w:cstheme="minorHAnsi"/>
        </w:rPr>
        <w:t xml:space="preserve"> G</w:t>
      </w:r>
      <w:r w:rsidR="003A6F15">
        <w:rPr>
          <w:rFonts w:eastAsia="Calibri" w:cstheme="minorHAnsi"/>
        </w:rPr>
        <w:t>.</w:t>
      </w:r>
      <w:r w:rsidRPr="002451D5">
        <w:rPr>
          <w:rFonts w:eastAsia="Calibri" w:cstheme="minorHAnsi"/>
        </w:rPr>
        <w:t>, Muller-Karger</w:t>
      </w:r>
      <w:r w:rsidR="003A6F15">
        <w:rPr>
          <w:rFonts w:eastAsia="Calibri" w:cstheme="minorHAnsi"/>
        </w:rPr>
        <w:t>,</w:t>
      </w:r>
      <w:r w:rsidRPr="002451D5">
        <w:rPr>
          <w:rFonts w:eastAsia="Calibri" w:cstheme="minorHAnsi"/>
        </w:rPr>
        <w:t xml:space="preserve"> F</w:t>
      </w:r>
      <w:r w:rsidR="003A6F15">
        <w:rPr>
          <w:rFonts w:eastAsia="Calibri" w:cstheme="minorHAnsi"/>
        </w:rPr>
        <w:t>.</w:t>
      </w:r>
      <w:r w:rsidRPr="002451D5">
        <w:rPr>
          <w:rFonts w:eastAsia="Calibri" w:cstheme="minorHAnsi"/>
        </w:rPr>
        <w:t>, Habtes</w:t>
      </w:r>
      <w:r w:rsidR="003A6F15">
        <w:rPr>
          <w:rFonts w:eastAsia="Calibri" w:cstheme="minorHAnsi"/>
        </w:rPr>
        <w:t>,</w:t>
      </w:r>
      <w:r w:rsidRPr="002451D5">
        <w:rPr>
          <w:rFonts w:eastAsia="Calibri" w:cstheme="minorHAnsi"/>
        </w:rPr>
        <w:t xml:space="preserve"> S</w:t>
      </w:r>
      <w:r w:rsidR="003A6F15">
        <w:rPr>
          <w:rFonts w:eastAsia="Calibri" w:cstheme="minorHAnsi"/>
        </w:rPr>
        <w:t>.</w:t>
      </w:r>
      <w:r w:rsidRPr="002451D5">
        <w:rPr>
          <w:rFonts w:eastAsia="Calibri" w:cstheme="minorHAnsi"/>
        </w:rPr>
        <w:t>, Richards</w:t>
      </w:r>
      <w:r w:rsidR="003A6F15">
        <w:rPr>
          <w:rFonts w:eastAsia="Calibri" w:cstheme="minorHAnsi"/>
        </w:rPr>
        <w:t>,</w:t>
      </w:r>
      <w:r w:rsidRPr="002451D5">
        <w:rPr>
          <w:rFonts w:eastAsia="Calibri" w:cstheme="minorHAnsi"/>
        </w:rPr>
        <w:t xml:space="preserve"> W</w:t>
      </w:r>
      <w:r w:rsidR="003A6F15">
        <w:rPr>
          <w:rFonts w:eastAsia="Calibri" w:cstheme="minorHAnsi"/>
        </w:rPr>
        <w:t>.</w:t>
      </w:r>
      <w:r w:rsidRPr="002451D5">
        <w:rPr>
          <w:rFonts w:eastAsia="Calibri" w:cstheme="minorHAnsi"/>
        </w:rPr>
        <w:t>J</w:t>
      </w:r>
      <w:r w:rsidR="003A6F15">
        <w:rPr>
          <w:rFonts w:eastAsia="Calibri" w:cstheme="minorHAnsi"/>
        </w:rPr>
        <w:t>.</w:t>
      </w:r>
      <w:r w:rsidRPr="002451D5">
        <w:rPr>
          <w:rFonts w:eastAsia="Calibri" w:cstheme="minorHAnsi"/>
        </w:rPr>
        <w:t xml:space="preserve"> (2012) Overlap between Atlantic blueﬁn tuna spawning grounds and observed Deepwater Horizon surface oil in the northern Gulf </w:t>
      </w:r>
      <w:r w:rsidRPr="002451D5">
        <w:rPr>
          <w:rFonts w:eastAsia="Calibri" w:cstheme="minorHAnsi"/>
        </w:rPr>
        <w:lastRenderedPageBreak/>
        <w:t xml:space="preserve">of Mexico. </w:t>
      </w:r>
      <w:r w:rsidR="003A6F15">
        <w:rPr>
          <w:rFonts w:eastAsia="Calibri" w:cstheme="minorHAnsi"/>
        </w:rPr>
        <w:t>Marine Pollution Bulletin</w:t>
      </w:r>
      <w:r w:rsidRPr="002451D5">
        <w:rPr>
          <w:rFonts w:eastAsia="Calibri" w:cstheme="minorHAnsi"/>
        </w:rPr>
        <w:t xml:space="preserve"> 64:679-687.</w:t>
      </w:r>
    </w:p>
    <w:p w:rsidR="009B6CD0" w:rsidRDefault="009B6CD0" w:rsidP="00134A4E">
      <w:pPr>
        <w:widowControl w:val="0"/>
        <w:autoSpaceDE w:val="0"/>
        <w:autoSpaceDN w:val="0"/>
        <w:adjustRightInd w:val="0"/>
        <w:spacing w:line="480" w:lineRule="auto"/>
        <w:ind w:left="720" w:hanging="720"/>
        <w:jc w:val="both"/>
        <w:rPr>
          <w:rFonts w:eastAsia="Calibri" w:cstheme="minorHAnsi"/>
        </w:rPr>
      </w:pPr>
      <w:r w:rsidRPr="009B6CD0">
        <w:rPr>
          <w:rFonts w:eastAsia="Calibri" w:cstheme="minorHAnsi"/>
        </w:rPr>
        <w:t xml:space="preserve">Muhling, B. A., Reglero, P., Ciannelli, L., Alvarez-Berastegui, D., Alemany, F., Lamkin, J. T., Roffer, M. A. (2013) Comparison between environmental characteristics of larval bluefin tuna </w:t>
      </w:r>
      <w:r w:rsidRPr="009B6CD0">
        <w:rPr>
          <w:rFonts w:eastAsia="Calibri" w:cstheme="minorHAnsi"/>
          <w:i/>
        </w:rPr>
        <w:t>Thunnus thynnus</w:t>
      </w:r>
      <w:r w:rsidRPr="009B6CD0">
        <w:rPr>
          <w:rFonts w:eastAsia="Calibri" w:cstheme="minorHAnsi"/>
        </w:rPr>
        <w:t xml:space="preserve"> habitat in the Gulf of Mexico and western Mediterranean Sea.</w:t>
      </w:r>
      <w:r w:rsidR="0049157F">
        <w:rPr>
          <w:rFonts w:eastAsia="Calibri" w:cstheme="minorHAnsi"/>
        </w:rPr>
        <w:t xml:space="preserve"> Marine Ecology Progress Series 486: 257-276.</w:t>
      </w:r>
    </w:p>
    <w:p w:rsidR="00826BD9" w:rsidRDefault="00826BD9" w:rsidP="00134A4E">
      <w:pPr>
        <w:widowControl w:val="0"/>
        <w:autoSpaceDE w:val="0"/>
        <w:autoSpaceDN w:val="0"/>
        <w:adjustRightInd w:val="0"/>
        <w:spacing w:line="480" w:lineRule="auto"/>
        <w:ind w:left="720" w:hanging="720"/>
        <w:jc w:val="both"/>
        <w:rPr>
          <w:rFonts w:eastAsia="Calibri" w:cstheme="minorHAnsi"/>
        </w:rPr>
      </w:pPr>
      <w:r w:rsidRPr="00826BD9">
        <w:rPr>
          <w:rFonts w:eastAsia="Calibri" w:cstheme="minorHAnsi"/>
        </w:rPr>
        <w:t>Nishikawa, Y. (1978). Distribution atlas of larval tunas, billfishes and related species: results of larval surveys by R/V Shunyo Maru and Shoyo Maru (1956-1975) (Vol. 9). Far Seas Fisheries Research Laboratory.</w:t>
      </w:r>
    </w:p>
    <w:p w:rsidR="007D02D7" w:rsidRDefault="007D02D7" w:rsidP="00134A4E">
      <w:pPr>
        <w:widowControl w:val="0"/>
        <w:autoSpaceDE w:val="0"/>
        <w:autoSpaceDN w:val="0"/>
        <w:adjustRightInd w:val="0"/>
        <w:spacing w:line="480" w:lineRule="auto"/>
        <w:ind w:left="720" w:hanging="720"/>
        <w:jc w:val="both"/>
        <w:rPr>
          <w:rFonts w:eastAsia="Calibri" w:cstheme="minorHAnsi"/>
        </w:rPr>
      </w:pPr>
      <w:r w:rsidRPr="00F73065">
        <w:rPr>
          <w:rFonts w:eastAsia="Calibri" w:cstheme="minorHAnsi"/>
        </w:rPr>
        <w:t>Nye</w:t>
      </w:r>
      <w:r>
        <w:rPr>
          <w:rFonts w:eastAsia="Calibri" w:cstheme="minorHAnsi"/>
        </w:rPr>
        <w:t>,</w:t>
      </w:r>
      <w:r w:rsidRPr="00F73065">
        <w:rPr>
          <w:rFonts w:eastAsia="Calibri" w:cstheme="minorHAnsi"/>
        </w:rPr>
        <w:t xml:space="preserve"> J</w:t>
      </w:r>
      <w:r>
        <w:rPr>
          <w:rFonts w:eastAsia="Calibri" w:cstheme="minorHAnsi"/>
        </w:rPr>
        <w:t>.</w:t>
      </w:r>
      <w:r w:rsidRPr="00F73065">
        <w:rPr>
          <w:rFonts w:eastAsia="Calibri" w:cstheme="minorHAnsi"/>
        </w:rPr>
        <w:t>A</w:t>
      </w:r>
      <w:r>
        <w:rPr>
          <w:rFonts w:eastAsia="Calibri" w:cstheme="minorHAnsi"/>
        </w:rPr>
        <w:t>.</w:t>
      </w:r>
      <w:r w:rsidRPr="00F73065">
        <w:rPr>
          <w:rFonts w:eastAsia="Calibri" w:cstheme="minorHAnsi"/>
        </w:rPr>
        <w:t>, Link</w:t>
      </w:r>
      <w:r>
        <w:rPr>
          <w:rFonts w:eastAsia="Calibri" w:cstheme="minorHAnsi"/>
        </w:rPr>
        <w:t>,</w:t>
      </w:r>
      <w:r w:rsidRPr="00F73065">
        <w:rPr>
          <w:rFonts w:eastAsia="Calibri" w:cstheme="minorHAnsi"/>
        </w:rPr>
        <w:t xml:space="preserve"> J</w:t>
      </w:r>
      <w:r>
        <w:rPr>
          <w:rFonts w:eastAsia="Calibri" w:cstheme="minorHAnsi"/>
        </w:rPr>
        <w:t>.</w:t>
      </w:r>
      <w:r w:rsidRPr="00F73065">
        <w:rPr>
          <w:rFonts w:eastAsia="Calibri" w:cstheme="minorHAnsi"/>
        </w:rPr>
        <w:t>S</w:t>
      </w:r>
      <w:r>
        <w:rPr>
          <w:rFonts w:eastAsia="Calibri" w:cstheme="minorHAnsi"/>
        </w:rPr>
        <w:t>.</w:t>
      </w:r>
      <w:r w:rsidRPr="00F73065">
        <w:rPr>
          <w:rFonts w:eastAsia="Calibri" w:cstheme="minorHAnsi"/>
        </w:rPr>
        <w:t>, Hare</w:t>
      </w:r>
      <w:r>
        <w:rPr>
          <w:rFonts w:eastAsia="Calibri" w:cstheme="minorHAnsi"/>
        </w:rPr>
        <w:t>,</w:t>
      </w:r>
      <w:r w:rsidRPr="00F73065">
        <w:rPr>
          <w:rFonts w:eastAsia="Calibri" w:cstheme="minorHAnsi"/>
        </w:rPr>
        <w:t xml:space="preserve"> J</w:t>
      </w:r>
      <w:r>
        <w:rPr>
          <w:rFonts w:eastAsia="Calibri" w:cstheme="minorHAnsi"/>
        </w:rPr>
        <w:t>.</w:t>
      </w:r>
      <w:r w:rsidRPr="00F73065">
        <w:rPr>
          <w:rFonts w:eastAsia="Calibri" w:cstheme="minorHAnsi"/>
        </w:rPr>
        <w:t>A</w:t>
      </w:r>
      <w:r>
        <w:rPr>
          <w:rFonts w:eastAsia="Calibri" w:cstheme="minorHAnsi"/>
        </w:rPr>
        <w:t>.</w:t>
      </w:r>
      <w:r w:rsidRPr="00F73065">
        <w:rPr>
          <w:rFonts w:eastAsia="Calibri" w:cstheme="minorHAnsi"/>
        </w:rPr>
        <w:t>, Overholtz</w:t>
      </w:r>
      <w:r>
        <w:rPr>
          <w:rFonts w:eastAsia="Calibri" w:cstheme="minorHAnsi"/>
        </w:rPr>
        <w:t>,</w:t>
      </w:r>
      <w:r w:rsidRPr="00F73065">
        <w:rPr>
          <w:rFonts w:eastAsia="Calibri" w:cstheme="minorHAnsi"/>
        </w:rPr>
        <w:t xml:space="preserve"> W</w:t>
      </w:r>
      <w:r>
        <w:rPr>
          <w:rFonts w:eastAsia="Calibri" w:cstheme="minorHAnsi"/>
        </w:rPr>
        <w:t>.</w:t>
      </w:r>
      <w:r w:rsidRPr="00F73065">
        <w:rPr>
          <w:rFonts w:eastAsia="Calibri" w:cstheme="minorHAnsi"/>
        </w:rPr>
        <w:t>J</w:t>
      </w:r>
      <w:r>
        <w:rPr>
          <w:rFonts w:eastAsia="Calibri" w:cstheme="minorHAnsi"/>
        </w:rPr>
        <w:t>.</w:t>
      </w:r>
      <w:r w:rsidRPr="00F73065">
        <w:rPr>
          <w:rFonts w:eastAsia="Calibri" w:cstheme="minorHAnsi"/>
        </w:rPr>
        <w:t xml:space="preserve"> (2009) Changing spatial distribution of fish stocks in relation to climate and population size on the Northeast United States continental shelf. </w:t>
      </w:r>
      <w:r w:rsidR="0049157F">
        <w:rPr>
          <w:rFonts w:eastAsia="Calibri" w:cstheme="minorHAnsi"/>
        </w:rPr>
        <w:t>Marine Ecology Progress Series</w:t>
      </w:r>
      <w:r w:rsidRPr="00F73065">
        <w:rPr>
          <w:rFonts w:eastAsia="Calibri" w:cstheme="minorHAnsi"/>
        </w:rPr>
        <w:t xml:space="preserve"> 393:111-129</w:t>
      </w:r>
    </w:p>
    <w:p w:rsidR="007D02D7" w:rsidRDefault="007D02D7" w:rsidP="00134A4E">
      <w:pPr>
        <w:spacing w:line="480" w:lineRule="auto"/>
        <w:ind w:left="720" w:hanging="720"/>
        <w:jc w:val="both"/>
        <w:rPr>
          <w:rFonts w:eastAsia="Calibri" w:cstheme="minorHAnsi"/>
        </w:rPr>
      </w:pPr>
      <w:r w:rsidRPr="005968CC">
        <w:rPr>
          <w:rFonts w:eastAsia="Calibri" w:cstheme="minorHAnsi"/>
        </w:rPr>
        <w:t xml:space="preserve">Pinsky, M. L., Fogarty, M. (2012) Lagged social-ecological responses to climate and range shifts in fisheries. Climatic Change, </w:t>
      </w:r>
      <w:r w:rsidR="0049157F">
        <w:rPr>
          <w:rFonts w:eastAsia="Calibri" w:cstheme="minorHAnsi"/>
        </w:rPr>
        <w:t>115: 883-891</w:t>
      </w:r>
      <w:r w:rsidRPr="005968CC">
        <w:rPr>
          <w:rFonts w:eastAsia="Calibri" w:cstheme="minorHAnsi"/>
        </w:rPr>
        <w:t>.</w:t>
      </w:r>
    </w:p>
    <w:p w:rsidR="007D02D7" w:rsidRDefault="007D02D7" w:rsidP="00134A4E">
      <w:pPr>
        <w:widowControl w:val="0"/>
        <w:autoSpaceDE w:val="0"/>
        <w:autoSpaceDN w:val="0"/>
        <w:adjustRightInd w:val="0"/>
        <w:spacing w:line="480" w:lineRule="auto"/>
        <w:ind w:left="720" w:hanging="720"/>
        <w:jc w:val="both"/>
        <w:rPr>
          <w:rFonts w:cstheme="minorHAnsi"/>
        </w:rPr>
      </w:pPr>
      <w:r w:rsidRPr="008D4782">
        <w:rPr>
          <w:rFonts w:cstheme="minorHAnsi"/>
        </w:rPr>
        <w:t>Perry, A. L., Low, P. J., Ellis, J. R., Reynolds, J. D. (2005) Climate change and distribution shifts in marine fishes. Science 308: 1912</w:t>
      </w:r>
      <w:r w:rsidRPr="008D4782">
        <w:rPr>
          <w:rFonts w:cstheme="minorHAnsi"/>
          <w:color w:val="008000"/>
        </w:rPr>
        <w:t>–</w:t>
      </w:r>
      <w:r w:rsidRPr="008D4782">
        <w:rPr>
          <w:rFonts w:cstheme="minorHAnsi"/>
        </w:rPr>
        <w:t>1915.</w:t>
      </w:r>
    </w:p>
    <w:p w:rsidR="00826BD9" w:rsidRDefault="00826BD9" w:rsidP="00134A4E">
      <w:pPr>
        <w:spacing w:line="480" w:lineRule="auto"/>
        <w:ind w:left="720" w:hanging="720"/>
        <w:jc w:val="both"/>
        <w:rPr>
          <w:rFonts w:eastAsia="Calibri" w:cstheme="minorHAnsi"/>
        </w:rPr>
      </w:pPr>
      <w:r w:rsidRPr="00826BD9">
        <w:rPr>
          <w:rFonts w:eastAsia="Calibri" w:cstheme="minorHAnsi"/>
        </w:rPr>
        <w:t>Prince, E. D., Goodyear, C. P. (2006) Hypoxia</w:t>
      </w:r>
      <w:r w:rsidRPr="00826BD9">
        <w:rPr>
          <w:rFonts w:ascii="Cambria Math" w:eastAsia="Calibri" w:hAnsi="Cambria Math" w:cs="Cambria Math"/>
        </w:rPr>
        <w:t>‐</w:t>
      </w:r>
      <w:r w:rsidRPr="00826BD9">
        <w:rPr>
          <w:rFonts w:eastAsia="Calibri" w:cstheme="minorHAnsi"/>
        </w:rPr>
        <w:t>based habitat compression of tropical pelagic fishes. Fisheries Oceanography 15</w:t>
      </w:r>
      <w:r w:rsidR="0049157F">
        <w:rPr>
          <w:rFonts w:eastAsia="Calibri" w:cstheme="minorHAnsi"/>
        </w:rPr>
        <w:t>:</w:t>
      </w:r>
      <w:r w:rsidRPr="00826BD9">
        <w:rPr>
          <w:rFonts w:eastAsia="Calibri" w:cstheme="minorHAnsi"/>
        </w:rPr>
        <w:t xml:space="preserve"> 451-464.</w:t>
      </w:r>
    </w:p>
    <w:p w:rsidR="007D02D7" w:rsidRDefault="007D02D7" w:rsidP="00134A4E">
      <w:pPr>
        <w:spacing w:line="480" w:lineRule="auto"/>
        <w:ind w:left="720" w:hanging="720"/>
        <w:jc w:val="both"/>
        <w:rPr>
          <w:rFonts w:eastAsia="Calibri" w:cstheme="minorHAnsi"/>
        </w:rPr>
      </w:pPr>
      <w:r w:rsidRPr="005968CC">
        <w:rPr>
          <w:rFonts w:eastAsia="Calibri" w:cstheme="minorHAnsi"/>
        </w:rPr>
        <w:t>P</w:t>
      </w:r>
      <w:r>
        <w:rPr>
          <w:rFonts w:eastAsia="Calibri" w:cstheme="minorHAnsi"/>
        </w:rPr>
        <w:t>unt</w:t>
      </w:r>
      <w:r w:rsidRPr="005968CC">
        <w:rPr>
          <w:rFonts w:eastAsia="Calibri" w:cstheme="minorHAnsi"/>
        </w:rPr>
        <w:t>, A. E.,</w:t>
      </w:r>
      <w:r>
        <w:rPr>
          <w:rFonts w:eastAsia="Calibri" w:cstheme="minorHAnsi"/>
        </w:rPr>
        <w:t xml:space="preserve"> Hilborn, R. (1997)</w:t>
      </w:r>
      <w:r w:rsidRPr="005968CC">
        <w:rPr>
          <w:rFonts w:eastAsia="Calibri" w:cstheme="minorHAnsi"/>
        </w:rPr>
        <w:t xml:space="preserve"> Fisheries stock assessment and decision analysis: the Bayesian approach. </w:t>
      </w:r>
      <w:r w:rsidR="0049157F">
        <w:rPr>
          <w:rFonts w:eastAsia="Calibri" w:cstheme="minorHAnsi"/>
        </w:rPr>
        <w:t>Reviews in Fish Biology and Fisheries</w:t>
      </w:r>
      <w:r w:rsidRPr="005968CC">
        <w:rPr>
          <w:rFonts w:eastAsia="Calibri" w:cstheme="minorHAnsi"/>
        </w:rPr>
        <w:t xml:space="preserve"> 7</w:t>
      </w:r>
      <w:r>
        <w:rPr>
          <w:rFonts w:eastAsia="Calibri" w:cstheme="minorHAnsi"/>
        </w:rPr>
        <w:t>:</w:t>
      </w:r>
      <w:r w:rsidRPr="005968CC">
        <w:rPr>
          <w:rFonts w:eastAsia="Calibri" w:cstheme="minorHAnsi"/>
        </w:rPr>
        <w:t xml:space="preserve"> 35-63.</w:t>
      </w:r>
    </w:p>
    <w:p w:rsidR="009468AC" w:rsidRDefault="009468AC" w:rsidP="00134A4E">
      <w:pPr>
        <w:spacing w:line="480" w:lineRule="auto"/>
        <w:ind w:left="720" w:hanging="720"/>
        <w:jc w:val="both"/>
        <w:rPr>
          <w:rFonts w:eastAsia="Calibri" w:cstheme="minorHAnsi"/>
        </w:rPr>
      </w:pPr>
      <w:r w:rsidRPr="009468AC">
        <w:rPr>
          <w:rFonts w:eastAsia="Calibri" w:cstheme="minorHAnsi"/>
        </w:rPr>
        <w:t xml:space="preserve">Rhein, M., Rintoul, </w:t>
      </w:r>
      <w:r w:rsidR="0049157F" w:rsidRPr="009468AC">
        <w:rPr>
          <w:rFonts w:eastAsia="Calibri" w:cstheme="minorHAnsi"/>
        </w:rPr>
        <w:t xml:space="preserve">S.R. </w:t>
      </w:r>
      <w:r w:rsidRPr="009468AC">
        <w:rPr>
          <w:rFonts w:eastAsia="Calibri" w:cstheme="minorHAnsi"/>
        </w:rPr>
        <w:t xml:space="preserve">Aoki, </w:t>
      </w:r>
      <w:r w:rsidR="0049157F" w:rsidRPr="009468AC">
        <w:rPr>
          <w:rFonts w:eastAsia="Calibri" w:cstheme="minorHAnsi"/>
        </w:rPr>
        <w:t>S.</w:t>
      </w:r>
      <w:r w:rsidR="0049157F">
        <w:rPr>
          <w:rFonts w:eastAsia="Calibri" w:cstheme="minorHAnsi"/>
        </w:rPr>
        <w:t>,</w:t>
      </w:r>
      <w:r w:rsidRPr="009468AC">
        <w:rPr>
          <w:rFonts w:eastAsia="Calibri" w:cstheme="minorHAnsi"/>
        </w:rPr>
        <w:t xml:space="preserve"> Campos, </w:t>
      </w:r>
      <w:r w:rsidR="0049157F" w:rsidRPr="009468AC">
        <w:rPr>
          <w:rFonts w:eastAsia="Calibri" w:cstheme="minorHAnsi"/>
        </w:rPr>
        <w:t>E.</w:t>
      </w:r>
      <w:r w:rsidR="0049157F">
        <w:rPr>
          <w:rFonts w:eastAsia="Calibri" w:cstheme="minorHAnsi"/>
        </w:rPr>
        <w:t>,</w:t>
      </w:r>
      <w:r w:rsidRPr="009468AC">
        <w:rPr>
          <w:rFonts w:eastAsia="Calibri" w:cstheme="minorHAnsi"/>
        </w:rPr>
        <w:t xml:space="preserve"> Chambers, </w:t>
      </w:r>
      <w:r w:rsidR="0049157F" w:rsidRPr="009468AC">
        <w:rPr>
          <w:rFonts w:eastAsia="Calibri" w:cstheme="minorHAnsi"/>
        </w:rPr>
        <w:t>D.</w:t>
      </w:r>
      <w:r w:rsidR="0049157F">
        <w:rPr>
          <w:rFonts w:eastAsia="Calibri" w:cstheme="minorHAnsi"/>
        </w:rPr>
        <w:t>,</w:t>
      </w:r>
      <w:r w:rsidR="0049157F" w:rsidRPr="009468AC">
        <w:rPr>
          <w:rFonts w:eastAsia="Calibri" w:cstheme="minorHAnsi"/>
        </w:rPr>
        <w:t xml:space="preserve"> </w:t>
      </w:r>
      <w:r w:rsidRPr="009468AC">
        <w:rPr>
          <w:rFonts w:eastAsia="Calibri" w:cstheme="minorHAnsi"/>
        </w:rPr>
        <w:t xml:space="preserve">Feely, </w:t>
      </w:r>
      <w:r w:rsidR="0049157F" w:rsidRPr="009468AC">
        <w:rPr>
          <w:rFonts w:eastAsia="Calibri" w:cstheme="minorHAnsi"/>
        </w:rPr>
        <w:t>R.A.</w:t>
      </w:r>
      <w:r w:rsidR="0049157F">
        <w:rPr>
          <w:rFonts w:eastAsia="Calibri" w:cstheme="minorHAnsi"/>
        </w:rPr>
        <w:t>,</w:t>
      </w:r>
      <w:r w:rsidR="0049157F" w:rsidRPr="009468AC">
        <w:rPr>
          <w:rFonts w:eastAsia="Calibri" w:cstheme="minorHAnsi"/>
        </w:rPr>
        <w:t xml:space="preserve"> </w:t>
      </w:r>
      <w:r w:rsidRPr="009468AC">
        <w:rPr>
          <w:rFonts w:eastAsia="Calibri" w:cstheme="minorHAnsi"/>
        </w:rPr>
        <w:t xml:space="preserve">Gulev, </w:t>
      </w:r>
      <w:r w:rsidR="0049157F" w:rsidRPr="009468AC">
        <w:rPr>
          <w:rFonts w:eastAsia="Calibri" w:cstheme="minorHAnsi"/>
        </w:rPr>
        <w:t>S.</w:t>
      </w:r>
      <w:r w:rsidR="0049157F">
        <w:rPr>
          <w:rFonts w:eastAsia="Calibri" w:cstheme="minorHAnsi"/>
        </w:rPr>
        <w:t>,</w:t>
      </w:r>
      <w:r w:rsidRPr="009468AC">
        <w:rPr>
          <w:rFonts w:eastAsia="Calibri" w:cstheme="minorHAnsi"/>
        </w:rPr>
        <w:t xml:space="preserve"> Johnson, </w:t>
      </w:r>
      <w:r w:rsidR="0049157F" w:rsidRPr="009468AC">
        <w:rPr>
          <w:rFonts w:eastAsia="Calibri" w:cstheme="minorHAnsi"/>
        </w:rPr>
        <w:t>G.C.</w:t>
      </w:r>
      <w:r w:rsidR="0049157F">
        <w:rPr>
          <w:rFonts w:eastAsia="Calibri" w:cstheme="minorHAnsi"/>
        </w:rPr>
        <w:t>,</w:t>
      </w:r>
      <w:r w:rsidRPr="009468AC">
        <w:rPr>
          <w:rFonts w:eastAsia="Calibri" w:cstheme="minorHAnsi"/>
        </w:rPr>
        <w:t xml:space="preserve"> Josey, </w:t>
      </w:r>
      <w:r w:rsidR="0049157F" w:rsidRPr="009468AC">
        <w:rPr>
          <w:rFonts w:eastAsia="Calibri" w:cstheme="minorHAnsi"/>
        </w:rPr>
        <w:t>S.A.</w:t>
      </w:r>
      <w:r w:rsidR="0049157F">
        <w:rPr>
          <w:rFonts w:eastAsia="Calibri" w:cstheme="minorHAnsi"/>
        </w:rPr>
        <w:t>,</w:t>
      </w:r>
      <w:r w:rsidR="0049157F" w:rsidRPr="009468AC">
        <w:rPr>
          <w:rFonts w:eastAsia="Calibri" w:cstheme="minorHAnsi"/>
        </w:rPr>
        <w:t xml:space="preserve"> </w:t>
      </w:r>
      <w:r w:rsidRPr="009468AC">
        <w:rPr>
          <w:rFonts w:eastAsia="Calibri" w:cstheme="minorHAnsi"/>
        </w:rPr>
        <w:t xml:space="preserve">Kostianoy, </w:t>
      </w:r>
      <w:r w:rsidR="0049157F" w:rsidRPr="009468AC">
        <w:rPr>
          <w:rFonts w:eastAsia="Calibri" w:cstheme="minorHAnsi"/>
        </w:rPr>
        <w:t>A.</w:t>
      </w:r>
      <w:r w:rsidR="0049157F">
        <w:rPr>
          <w:rFonts w:eastAsia="Calibri" w:cstheme="minorHAnsi"/>
        </w:rPr>
        <w:t>,</w:t>
      </w:r>
      <w:r w:rsidRPr="009468AC">
        <w:rPr>
          <w:rFonts w:eastAsia="Calibri" w:cstheme="minorHAnsi"/>
        </w:rPr>
        <w:t xml:space="preserve"> Mauritzen, </w:t>
      </w:r>
      <w:r w:rsidR="0049157F" w:rsidRPr="009468AC">
        <w:rPr>
          <w:rFonts w:eastAsia="Calibri" w:cstheme="minorHAnsi"/>
        </w:rPr>
        <w:t>C.</w:t>
      </w:r>
      <w:r w:rsidR="0049157F">
        <w:rPr>
          <w:rFonts w:eastAsia="Calibri" w:cstheme="minorHAnsi"/>
        </w:rPr>
        <w:t>,</w:t>
      </w:r>
      <w:r w:rsidRPr="009468AC">
        <w:rPr>
          <w:rFonts w:eastAsia="Calibri" w:cstheme="minorHAnsi"/>
        </w:rPr>
        <w:t xml:space="preserve"> Roemmich, </w:t>
      </w:r>
      <w:r w:rsidR="0049157F" w:rsidRPr="009468AC">
        <w:rPr>
          <w:rFonts w:eastAsia="Calibri" w:cstheme="minorHAnsi"/>
        </w:rPr>
        <w:t>D.</w:t>
      </w:r>
      <w:r w:rsidR="0049157F">
        <w:rPr>
          <w:rFonts w:eastAsia="Calibri" w:cstheme="minorHAnsi"/>
        </w:rPr>
        <w:t>,</w:t>
      </w:r>
      <w:r w:rsidRPr="009468AC">
        <w:rPr>
          <w:rFonts w:eastAsia="Calibri" w:cstheme="minorHAnsi"/>
        </w:rPr>
        <w:t xml:space="preserve"> Talley</w:t>
      </w:r>
      <w:r w:rsidR="0049157F">
        <w:rPr>
          <w:rFonts w:eastAsia="Calibri" w:cstheme="minorHAnsi"/>
        </w:rPr>
        <w:t>,</w:t>
      </w:r>
      <w:r w:rsidRPr="009468AC">
        <w:rPr>
          <w:rFonts w:eastAsia="Calibri" w:cstheme="minorHAnsi"/>
        </w:rPr>
        <w:t xml:space="preserve"> </w:t>
      </w:r>
      <w:r w:rsidR="0049157F" w:rsidRPr="009468AC">
        <w:rPr>
          <w:rFonts w:eastAsia="Calibri" w:cstheme="minorHAnsi"/>
        </w:rPr>
        <w:t>L.D.</w:t>
      </w:r>
      <w:r w:rsidR="0049157F">
        <w:rPr>
          <w:rFonts w:eastAsia="Calibri" w:cstheme="minorHAnsi"/>
        </w:rPr>
        <w:t>,</w:t>
      </w:r>
      <w:r w:rsidR="0049157F" w:rsidRPr="009468AC">
        <w:rPr>
          <w:rFonts w:eastAsia="Calibri" w:cstheme="minorHAnsi"/>
        </w:rPr>
        <w:t xml:space="preserve"> </w:t>
      </w:r>
      <w:r w:rsidRPr="009468AC">
        <w:rPr>
          <w:rFonts w:eastAsia="Calibri" w:cstheme="minorHAnsi"/>
        </w:rPr>
        <w:t>Wang</w:t>
      </w:r>
      <w:r w:rsidR="0049157F">
        <w:rPr>
          <w:rFonts w:eastAsia="Calibri" w:cstheme="minorHAnsi"/>
        </w:rPr>
        <w:t>,</w:t>
      </w:r>
      <w:r w:rsidRPr="009468AC">
        <w:rPr>
          <w:rFonts w:eastAsia="Calibri" w:cstheme="minorHAnsi"/>
        </w:rPr>
        <w:t xml:space="preserve"> </w:t>
      </w:r>
      <w:r w:rsidR="0049157F" w:rsidRPr="009468AC">
        <w:rPr>
          <w:rFonts w:eastAsia="Calibri" w:cstheme="minorHAnsi"/>
        </w:rPr>
        <w:t>F.</w:t>
      </w:r>
      <w:r w:rsidR="0049157F">
        <w:rPr>
          <w:rFonts w:eastAsia="Calibri" w:cstheme="minorHAnsi"/>
        </w:rPr>
        <w:t xml:space="preserve"> </w:t>
      </w:r>
      <w:r>
        <w:rPr>
          <w:rFonts w:eastAsia="Calibri" w:cstheme="minorHAnsi"/>
        </w:rPr>
        <w:t>(</w:t>
      </w:r>
      <w:r w:rsidRPr="009468AC">
        <w:rPr>
          <w:rFonts w:eastAsia="Calibri" w:cstheme="minorHAnsi"/>
        </w:rPr>
        <w:t>2013</w:t>
      </w:r>
      <w:r>
        <w:rPr>
          <w:rFonts w:eastAsia="Calibri" w:cstheme="minorHAnsi"/>
        </w:rPr>
        <w:t>)</w:t>
      </w:r>
      <w:r w:rsidRPr="009468AC">
        <w:rPr>
          <w:rFonts w:eastAsia="Calibri" w:cstheme="minorHAnsi"/>
        </w:rPr>
        <w:t xml:space="preserve"> Observations: Ocean. In: Climate Change 2013: The Physical Science Basis. Contribution of Working Group I to the Fifth Assessment Report of the </w:t>
      </w:r>
      <w:r w:rsidRPr="009468AC">
        <w:rPr>
          <w:rFonts w:eastAsia="Calibri" w:cstheme="minorHAnsi"/>
        </w:rPr>
        <w:lastRenderedPageBreak/>
        <w:t>Intergovernmental</w:t>
      </w:r>
      <w:r>
        <w:rPr>
          <w:rFonts w:eastAsia="Calibri" w:cstheme="minorHAnsi"/>
        </w:rPr>
        <w:t xml:space="preserve"> </w:t>
      </w:r>
      <w:r w:rsidRPr="009468AC">
        <w:rPr>
          <w:rFonts w:eastAsia="Calibri" w:cstheme="minorHAnsi"/>
        </w:rPr>
        <w:t xml:space="preserve">Panel on Climate Change [Stocker, T.F., Qin, </w:t>
      </w:r>
      <w:r w:rsidR="0049157F" w:rsidRPr="009468AC">
        <w:rPr>
          <w:rFonts w:eastAsia="Calibri" w:cstheme="minorHAnsi"/>
        </w:rPr>
        <w:t>D.</w:t>
      </w:r>
      <w:r w:rsidR="0049157F">
        <w:rPr>
          <w:rFonts w:eastAsia="Calibri" w:cstheme="minorHAnsi"/>
        </w:rPr>
        <w:t>,</w:t>
      </w:r>
      <w:r w:rsidR="0049157F" w:rsidRPr="009468AC">
        <w:rPr>
          <w:rFonts w:eastAsia="Calibri" w:cstheme="minorHAnsi"/>
        </w:rPr>
        <w:t xml:space="preserve"> </w:t>
      </w:r>
      <w:r w:rsidRPr="009468AC">
        <w:rPr>
          <w:rFonts w:eastAsia="Calibri" w:cstheme="minorHAnsi"/>
        </w:rPr>
        <w:t xml:space="preserve">Plattner, </w:t>
      </w:r>
      <w:r w:rsidR="0049157F" w:rsidRPr="009468AC">
        <w:rPr>
          <w:rFonts w:eastAsia="Calibri" w:cstheme="minorHAnsi"/>
        </w:rPr>
        <w:t>G.-K.</w:t>
      </w:r>
      <w:r w:rsidR="0049157F">
        <w:rPr>
          <w:rFonts w:eastAsia="Calibri" w:cstheme="minorHAnsi"/>
        </w:rPr>
        <w:t>,</w:t>
      </w:r>
      <w:r w:rsidRPr="009468AC">
        <w:rPr>
          <w:rFonts w:eastAsia="Calibri" w:cstheme="minorHAnsi"/>
        </w:rPr>
        <w:t xml:space="preserve"> Tignor, </w:t>
      </w:r>
      <w:r w:rsidR="0049157F" w:rsidRPr="009468AC">
        <w:rPr>
          <w:rFonts w:eastAsia="Calibri" w:cstheme="minorHAnsi"/>
        </w:rPr>
        <w:t>M</w:t>
      </w:r>
      <w:r w:rsidR="0049157F">
        <w:rPr>
          <w:rFonts w:eastAsia="Calibri" w:cstheme="minorHAnsi"/>
        </w:rPr>
        <w:t>.,</w:t>
      </w:r>
      <w:r w:rsidR="0049157F" w:rsidRPr="009468AC">
        <w:rPr>
          <w:rFonts w:eastAsia="Calibri" w:cstheme="minorHAnsi"/>
        </w:rPr>
        <w:t xml:space="preserve"> </w:t>
      </w:r>
      <w:r w:rsidRPr="009468AC">
        <w:rPr>
          <w:rFonts w:eastAsia="Calibri" w:cstheme="minorHAnsi"/>
        </w:rPr>
        <w:t xml:space="preserve">Allen, </w:t>
      </w:r>
      <w:r w:rsidR="0049157F" w:rsidRPr="009468AC">
        <w:rPr>
          <w:rFonts w:eastAsia="Calibri" w:cstheme="minorHAnsi"/>
        </w:rPr>
        <w:t>S.K.</w:t>
      </w:r>
      <w:r w:rsidR="0049157F">
        <w:rPr>
          <w:rFonts w:eastAsia="Calibri" w:cstheme="minorHAnsi"/>
        </w:rPr>
        <w:t>,</w:t>
      </w:r>
      <w:r w:rsidR="0049157F" w:rsidRPr="009468AC">
        <w:rPr>
          <w:rFonts w:eastAsia="Calibri" w:cstheme="minorHAnsi"/>
        </w:rPr>
        <w:t xml:space="preserve"> </w:t>
      </w:r>
      <w:r w:rsidRPr="009468AC">
        <w:rPr>
          <w:rFonts w:eastAsia="Calibri" w:cstheme="minorHAnsi"/>
        </w:rPr>
        <w:t xml:space="preserve">Boschung, </w:t>
      </w:r>
      <w:r w:rsidR="0049157F" w:rsidRPr="009468AC">
        <w:rPr>
          <w:rFonts w:eastAsia="Calibri" w:cstheme="minorHAnsi"/>
        </w:rPr>
        <w:t>J.</w:t>
      </w:r>
      <w:r w:rsidR="0049157F">
        <w:rPr>
          <w:rFonts w:eastAsia="Calibri" w:cstheme="minorHAnsi"/>
        </w:rPr>
        <w:t>,</w:t>
      </w:r>
      <w:r w:rsidRPr="009468AC">
        <w:rPr>
          <w:rFonts w:eastAsia="Calibri" w:cstheme="minorHAnsi"/>
        </w:rPr>
        <w:t xml:space="preserve"> Nauels, </w:t>
      </w:r>
      <w:r w:rsidR="0049157F" w:rsidRPr="009468AC">
        <w:rPr>
          <w:rFonts w:eastAsia="Calibri" w:cstheme="minorHAnsi"/>
        </w:rPr>
        <w:t>A.</w:t>
      </w:r>
      <w:r w:rsidR="0049157F">
        <w:rPr>
          <w:rFonts w:eastAsia="Calibri" w:cstheme="minorHAnsi"/>
        </w:rPr>
        <w:t>,</w:t>
      </w:r>
      <w:r w:rsidRPr="009468AC">
        <w:rPr>
          <w:rFonts w:eastAsia="Calibri" w:cstheme="minorHAnsi"/>
        </w:rPr>
        <w:t xml:space="preserve"> Xia, </w:t>
      </w:r>
      <w:r w:rsidR="0049157F" w:rsidRPr="009468AC">
        <w:rPr>
          <w:rFonts w:eastAsia="Calibri" w:cstheme="minorHAnsi"/>
        </w:rPr>
        <w:t>Y.</w:t>
      </w:r>
      <w:r w:rsidR="0049157F">
        <w:rPr>
          <w:rFonts w:eastAsia="Calibri" w:cstheme="minorHAnsi"/>
        </w:rPr>
        <w:t>,</w:t>
      </w:r>
      <w:r w:rsidRPr="009468AC">
        <w:rPr>
          <w:rFonts w:eastAsia="Calibri" w:cstheme="minorHAnsi"/>
        </w:rPr>
        <w:t xml:space="preserve"> Bex </w:t>
      </w:r>
      <w:r w:rsidR="0049157F" w:rsidRPr="009468AC">
        <w:rPr>
          <w:rFonts w:eastAsia="Calibri" w:cstheme="minorHAnsi"/>
        </w:rPr>
        <w:t>V.</w:t>
      </w:r>
      <w:r w:rsidR="0049157F">
        <w:rPr>
          <w:rFonts w:eastAsia="Calibri" w:cstheme="minorHAnsi"/>
        </w:rPr>
        <w:t>,</w:t>
      </w:r>
      <w:r w:rsidRPr="009468AC">
        <w:rPr>
          <w:rFonts w:eastAsia="Calibri" w:cstheme="minorHAnsi"/>
        </w:rPr>
        <w:t xml:space="preserve"> Midgley</w:t>
      </w:r>
      <w:r w:rsidR="0049157F">
        <w:rPr>
          <w:rFonts w:eastAsia="Calibri" w:cstheme="minorHAnsi"/>
        </w:rPr>
        <w:t>,</w:t>
      </w:r>
      <w:r w:rsidRPr="009468AC">
        <w:rPr>
          <w:rFonts w:eastAsia="Calibri" w:cstheme="minorHAnsi"/>
        </w:rPr>
        <w:t xml:space="preserve"> </w:t>
      </w:r>
      <w:r w:rsidR="0049157F" w:rsidRPr="009468AC">
        <w:rPr>
          <w:rFonts w:eastAsia="Calibri" w:cstheme="minorHAnsi"/>
        </w:rPr>
        <w:t xml:space="preserve">P.M. </w:t>
      </w:r>
      <w:r w:rsidRPr="009468AC">
        <w:rPr>
          <w:rFonts w:eastAsia="Calibri" w:cstheme="minorHAnsi"/>
        </w:rPr>
        <w:t>(eds.)]. Cambridge University Press, Cambridge, United Kingdom and New York, NY, USA.</w:t>
      </w:r>
    </w:p>
    <w:p w:rsidR="00F0046C" w:rsidRDefault="00F0046C" w:rsidP="00134A4E">
      <w:pPr>
        <w:spacing w:line="480" w:lineRule="auto"/>
        <w:ind w:left="720" w:hanging="720"/>
        <w:jc w:val="both"/>
        <w:rPr>
          <w:rFonts w:eastAsia="Calibri" w:cstheme="minorHAnsi"/>
        </w:rPr>
      </w:pPr>
      <w:r w:rsidRPr="00F0046C">
        <w:rPr>
          <w:rFonts w:eastAsia="Calibri" w:cstheme="minorHAnsi"/>
        </w:rPr>
        <w:t>Richards</w:t>
      </w:r>
      <w:r w:rsidR="0049157F">
        <w:rPr>
          <w:rFonts w:eastAsia="Calibri" w:cstheme="minorHAnsi"/>
        </w:rPr>
        <w:t>,</w:t>
      </w:r>
      <w:r w:rsidRPr="00F0046C">
        <w:rPr>
          <w:rFonts w:eastAsia="Calibri" w:cstheme="minorHAnsi"/>
        </w:rPr>
        <w:t xml:space="preserve"> W</w:t>
      </w:r>
      <w:r w:rsidR="0049157F">
        <w:rPr>
          <w:rFonts w:eastAsia="Calibri" w:cstheme="minorHAnsi"/>
        </w:rPr>
        <w:t>.</w:t>
      </w:r>
      <w:r w:rsidRPr="00F0046C">
        <w:rPr>
          <w:rFonts w:eastAsia="Calibri" w:cstheme="minorHAnsi"/>
        </w:rPr>
        <w:t>J</w:t>
      </w:r>
      <w:r w:rsidR="0049157F">
        <w:rPr>
          <w:rFonts w:eastAsia="Calibri" w:cstheme="minorHAnsi"/>
        </w:rPr>
        <w:t>.</w:t>
      </w:r>
      <w:r w:rsidRPr="00F0046C">
        <w:rPr>
          <w:rFonts w:eastAsia="Calibri" w:cstheme="minorHAnsi"/>
        </w:rPr>
        <w:t>, McGowan</w:t>
      </w:r>
      <w:r w:rsidR="0049157F">
        <w:rPr>
          <w:rFonts w:eastAsia="Calibri" w:cstheme="minorHAnsi"/>
        </w:rPr>
        <w:t>,</w:t>
      </w:r>
      <w:r w:rsidRPr="00F0046C">
        <w:rPr>
          <w:rFonts w:eastAsia="Calibri" w:cstheme="minorHAnsi"/>
        </w:rPr>
        <w:t xml:space="preserve"> M</w:t>
      </w:r>
      <w:r w:rsidR="0049157F">
        <w:rPr>
          <w:rFonts w:eastAsia="Calibri" w:cstheme="minorHAnsi"/>
        </w:rPr>
        <w:t>.</w:t>
      </w:r>
      <w:r w:rsidRPr="00F0046C">
        <w:rPr>
          <w:rFonts w:eastAsia="Calibri" w:cstheme="minorHAnsi"/>
        </w:rPr>
        <w:t>F</w:t>
      </w:r>
      <w:r w:rsidR="0049157F">
        <w:rPr>
          <w:rFonts w:eastAsia="Calibri" w:cstheme="minorHAnsi"/>
        </w:rPr>
        <w:t>.</w:t>
      </w:r>
      <w:r w:rsidRPr="00F0046C">
        <w:rPr>
          <w:rFonts w:eastAsia="Calibri" w:cstheme="minorHAnsi"/>
        </w:rPr>
        <w:t>, Leming</w:t>
      </w:r>
      <w:r w:rsidR="0049157F">
        <w:rPr>
          <w:rFonts w:eastAsia="Calibri" w:cstheme="minorHAnsi"/>
        </w:rPr>
        <w:t>,</w:t>
      </w:r>
      <w:r w:rsidRPr="00F0046C">
        <w:rPr>
          <w:rFonts w:eastAsia="Calibri" w:cstheme="minorHAnsi"/>
        </w:rPr>
        <w:t xml:space="preserve"> T</w:t>
      </w:r>
      <w:r w:rsidR="0049157F">
        <w:rPr>
          <w:rFonts w:eastAsia="Calibri" w:cstheme="minorHAnsi"/>
        </w:rPr>
        <w:t>.</w:t>
      </w:r>
      <w:r w:rsidRPr="00F0046C">
        <w:rPr>
          <w:rFonts w:eastAsia="Calibri" w:cstheme="minorHAnsi"/>
        </w:rPr>
        <w:t>, Lamkin</w:t>
      </w:r>
      <w:r w:rsidR="0049157F">
        <w:rPr>
          <w:rFonts w:eastAsia="Calibri" w:cstheme="minorHAnsi"/>
        </w:rPr>
        <w:t>,</w:t>
      </w:r>
      <w:r w:rsidRPr="00F0046C">
        <w:rPr>
          <w:rFonts w:eastAsia="Calibri" w:cstheme="minorHAnsi"/>
        </w:rPr>
        <w:t xml:space="preserve"> J</w:t>
      </w:r>
      <w:r w:rsidR="0049157F">
        <w:rPr>
          <w:rFonts w:eastAsia="Calibri" w:cstheme="minorHAnsi"/>
        </w:rPr>
        <w:t>.</w:t>
      </w:r>
      <w:r w:rsidRPr="00F0046C">
        <w:rPr>
          <w:rFonts w:eastAsia="Calibri" w:cstheme="minorHAnsi"/>
        </w:rPr>
        <w:t>T</w:t>
      </w:r>
      <w:r w:rsidR="0049157F">
        <w:rPr>
          <w:rFonts w:eastAsia="Calibri" w:cstheme="minorHAnsi"/>
        </w:rPr>
        <w:t>.</w:t>
      </w:r>
      <w:r w:rsidRPr="00F0046C">
        <w:rPr>
          <w:rFonts w:eastAsia="Calibri" w:cstheme="minorHAnsi"/>
        </w:rPr>
        <w:t>, Kelley</w:t>
      </w:r>
      <w:r w:rsidR="0049157F">
        <w:rPr>
          <w:rFonts w:eastAsia="Calibri" w:cstheme="minorHAnsi"/>
        </w:rPr>
        <w:t>,</w:t>
      </w:r>
      <w:r w:rsidRPr="00F0046C">
        <w:rPr>
          <w:rFonts w:eastAsia="Calibri" w:cstheme="minorHAnsi"/>
        </w:rPr>
        <w:t xml:space="preserve"> S</w:t>
      </w:r>
      <w:r w:rsidR="0049157F">
        <w:rPr>
          <w:rFonts w:eastAsia="Calibri" w:cstheme="minorHAnsi"/>
        </w:rPr>
        <w:t>.</w:t>
      </w:r>
      <w:r w:rsidRPr="00F0046C">
        <w:rPr>
          <w:rFonts w:eastAsia="Calibri" w:cstheme="minorHAnsi"/>
        </w:rPr>
        <w:t xml:space="preserve"> (1993) Larval fish assemblages at the Loop Current boundary in the Gulf of Mexico. </w:t>
      </w:r>
      <w:r w:rsidR="0049157F">
        <w:rPr>
          <w:rFonts w:eastAsia="Calibri" w:cstheme="minorHAnsi"/>
        </w:rPr>
        <w:t xml:space="preserve">Bulletin of Marine Science </w:t>
      </w:r>
      <w:r w:rsidRPr="00F0046C">
        <w:rPr>
          <w:rFonts w:eastAsia="Calibri" w:cstheme="minorHAnsi"/>
        </w:rPr>
        <w:t>53:475-537</w:t>
      </w:r>
      <w:r w:rsidR="00774224">
        <w:rPr>
          <w:rFonts w:eastAsia="Calibri" w:cstheme="minorHAnsi"/>
        </w:rPr>
        <w:t>.</w:t>
      </w:r>
    </w:p>
    <w:p w:rsidR="007D02D7" w:rsidRDefault="007D02D7" w:rsidP="00134A4E">
      <w:pPr>
        <w:spacing w:line="480" w:lineRule="auto"/>
        <w:ind w:left="720" w:hanging="720"/>
        <w:jc w:val="both"/>
        <w:rPr>
          <w:rFonts w:eastAsia="Calibri" w:cstheme="minorHAnsi"/>
        </w:rPr>
      </w:pPr>
      <w:r w:rsidRPr="005968CC">
        <w:rPr>
          <w:rFonts w:eastAsia="Calibri" w:cstheme="minorHAnsi"/>
        </w:rPr>
        <w:t xml:space="preserve">Rijnsdorp, A. D., Peck, M. A., Engelhard, G. H., Möllmann, C., Pinnegar, J. K. (2009) Resolving the effect of climate change on fish populations. </w:t>
      </w:r>
      <w:r w:rsidR="0049157F">
        <w:rPr>
          <w:rFonts w:eastAsia="Calibri" w:cstheme="minorHAnsi"/>
        </w:rPr>
        <w:t>ICES Journal of Marine Science</w:t>
      </w:r>
      <w:r w:rsidRPr="005968CC">
        <w:rPr>
          <w:rFonts w:eastAsia="Calibri" w:cstheme="minorHAnsi"/>
        </w:rPr>
        <w:t xml:space="preserve"> 66</w:t>
      </w:r>
      <w:r>
        <w:rPr>
          <w:rFonts w:eastAsia="Calibri" w:cstheme="minorHAnsi"/>
        </w:rPr>
        <w:t>:</w:t>
      </w:r>
      <w:r w:rsidRPr="005968CC">
        <w:rPr>
          <w:rFonts w:eastAsia="Calibri" w:cstheme="minorHAnsi"/>
        </w:rPr>
        <w:t xml:space="preserve"> 1570-1583.</w:t>
      </w:r>
    </w:p>
    <w:p w:rsidR="00774224" w:rsidRDefault="00774224" w:rsidP="00134A4E">
      <w:pPr>
        <w:spacing w:line="480" w:lineRule="auto"/>
        <w:ind w:left="720" w:hanging="720"/>
        <w:jc w:val="both"/>
        <w:rPr>
          <w:rFonts w:eastAsia="Calibri" w:cstheme="minorHAnsi"/>
        </w:rPr>
      </w:pPr>
      <w:r>
        <w:rPr>
          <w:rFonts w:eastAsia="Calibri" w:cstheme="minorHAnsi"/>
        </w:rPr>
        <w:t xml:space="preserve">Roberts, J.J., Best, B.D., Dunn, D.C., Treml, E.A., Halpin, P.N. (2010) </w:t>
      </w:r>
      <w:r w:rsidRPr="00774224">
        <w:rPr>
          <w:rFonts w:eastAsia="Calibri" w:cstheme="minorHAnsi"/>
        </w:rPr>
        <w:t xml:space="preserve">Marine Geospatial Ecology Tools: An integrated framework for ecological geoprocessing with ArcGIS, Python, R, MATLAB, and C++. </w:t>
      </w:r>
      <w:r w:rsidR="0049157F">
        <w:rPr>
          <w:rFonts w:eastAsia="Calibri" w:cstheme="minorHAnsi"/>
        </w:rPr>
        <w:t>Environmental Modelling and Software</w:t>
      </w:r>
      <w:r w:rsidRPr="00774224">
        <w:rPr>
          <w:rFonts w:eastAsia="Calibri" w:cstheme="minorHAnsi"/>
        </w:rPr>
        <w:t xml:space="preserve"> 25: 1197-1207</w:t>
      </w:r>
      <w:r>
        <w:rPr>
          <w:rFonts w:eastAsia="Calibri" w:cstheme="minorHAnsi"/>
        </w:rPr>
        <w:t>.</w:t>
      </w:r>
    </w:p>
    <w:p w:rsidR="00826BD9" w:rsidRDefault="00826BD9" w:rsidP="00134A4E">
      <w:pPr>
        <w:spacing w:line="480" w:lineRule="auto"/>
        <w:ind w:left="720" w:hanging="720"/>
        <w:jc w:val="both"/>
        <w:rPr>
          <w:rFonts w:eastAsia="Calibri" w:cstheme="minorHAnsi"/>
        </w:rPr>
      </w:pPr>
      <w:r w:rsidRPr="00826BD9">
        <w:rPr>
          <w:rFonts w:eastAsia="Calibri" w:cstheme="minorHAnsi"/>
        </w:rPr>
        <w:t xml:space="preserve">Robinson, L. M., Hobday, A. J., Possingham, H. P., Richardson, A. J. (2014) Trailing edges projected to move faster than leading edges for large pelagic fish habitats under climate change. Deep Sea Research Part II: </w:t>
      </w:r>
      <w:r w:rsidR="0049157F">
        <w:rPr>
          <w:rFonts w:eastAsia="Calibri" w:cstheme="minorHAnsi"/>
        </w:rPr>
        <w:t xml:space="preserve">Topical Studies in Oceanography </w:t>
      </w:r>
      <w:r w:rsidR="0049157F" w:rsidRPr="0049157F">
        <w:rPr>
          <w:rFonts w:eastAsia="Calibri" w:cstheme="minorHAnsi"/>
        </w:rPr>
        <w:t>DOI: 10.1016/j.dsr2.2014.04.007</w:t>
      </w:r>
    </w:p>
    <w:p w:rsidR="007D02D7" w:rsidRDefault="007D02D7" w:rsidP="00134A4E">
      <w:pPr>
        <w:spacing w:line="480" w:lineRule="auto"/>
        <w:ind w:left="720" w:hanging="720"/>
        <w:jc w:val="both"/>
        <w:rPr>
          <w:rFonts w:eastAsia="Calibri" w:cstheme="minorHAnsi"/>
        </w:rPr>
      </w:pPr>
      <w:r w:rsidRPr="008D4782">
        <w:rPr>
          <w:rFonts w:eastAsia="Calibri" w:cstheme="minorHAnsi"/>
        </w:rPr>
        <w:t>Scavia, D., Field, J. C., Boesch, D. F., Buddemeier, R. W., Burkett</w:t>
      </w:r>
      <w:r w:rsidR="00346C8D">
        <w:rPr>
          <w:rFonts w:eastAsia="Calibri" w:cstheme="minorHAnsi"/>
        </w:rPr>
        <w:t xml:space="preserve">, V., Cayan, D. R., Fogarty, M., Harwell, M.A., Howarth, R.W., Mason, C., Reed, D.J., Royer, T.C., Sallenger, A.H., Titus, J.G. </w:t>
      </w:r>
      <w:r>
        <w:rPr>
          <w:rFonts w:eastAsia="Calibri" w:cstheme="minorHAnsi"/>
        </w:rPr>
        <w:t>(</w:t>
      </w:r>
      <w:r w:rsidRPr="008D4782">
        <w:rPr>
          <w:rFonts w:eastAsia="Calibri" w:cstheme="minorHAnsi"/>
        </w:rPr>
        <w:t>2002</w:t>
      </w:r>
      <w:r>
        <w:rPr>
          <w:rFonts w:eastAsia="Calibri" w:cstheme="minorHAnsi"/>
        </w:rPr>
        <w:t>)</w:t>
      </w:r>
      <w:r w:rsidRPr="008D4782">
        <w:rPr>
          <w:rFonts w:eastAsia="Calibri" w:cstheme="minorHAnsi"/>
        </w:rPr>
        <w:t xml:space="preserve"> Climate change impacts on US coastal and marine ecosystems. Estuaries 25: 149–164.</w:t>
      </w:r>
    </w:p>
    <w:p w:rsidR="00826BD9" w:rsidRDefault="00826BD9" w:rsidP="00134A4E">
      <w:pPr>
        <w:spacing w:line="480" w:lineRule="auto"/>
        <w:ind w:left="720" w:hanging="720"/>
        <w:jc w:val="both"/>
        <w:rPr>
          <w:rFonts w:eastAsia="Calibri" w:cstheme="minorHAnsi"/>
        </w:rPr>
      </w:pPr>
      <w:r w:rsidRPr="00826BD9">
        <w:rPr>
          <w:rFonts w:eastAsia="Calibri" w:cstheme="minorHAnsi"/>
        </w:rPr>
        <w:t>Schaefer, K. M. (2001). Reproductive biology of tunas. Fish Physiology 19</w:t>
      </w:r>
      <w:r w:rsidR="00346C8D">
        <w:rPr>
          <w:rFonts w:eastAsia="Calibri" w:cstheme="minorHAnsi"/>
        </w:rPr>
        <w:t>:</w:t>
      </w:r>
      <w:r w:rsidRPr="00826BD9">
        <w:rPr>
          <w:rFonts w:eastAsia="Calibri" w:cstheme="minorHAnsi"/>
        </w:rPr>
        <w:t xml:space="preserve"> 225-270.</w:t>
      </w:r>
    </w:p>
    <w:p w:rsidR="00826BD9" w:rsidRDefault="00826BD9" w:rsidP="00134A4E">
      <w:pPr>
        <w:spacing w:line="480" w:lineRule="auto"/>
        <w:ind w:left="720" w:hanging="720"/>
        <w:jc w:val="both"/>
        <w:rPr>
          <w:rFonts w:eastAsia="Calibri" w:cstheme="minorHAnsi"/>
        </w:rPr>
      </w:pPr>
      <w:r w:rsidRPr="00826BD9">
        <w:rPr>
          <w:rFonts w:eastAsia="Calibri" w:cstheme="minorHAnsi"/>
        </w:rPr>
        <w:lastRenderedPageBreak/>
        <w:t>Schaefer, K. M., Fuller, D. W. (2007) Vertical movement patterns of skipjack tuna (</w:t>
      </w:r>
      <w:r w:rsidRPr="0018512A">
        <w:rPr>
          <w:rFonts w:eastAsia="Calibri" w:cstheme="minorHAnsi"/>
          <w:i/>
        </w:rPr>
        <w:t>Katsuwonus pelamis</w:t>
      </w:r>
      <w:r w:rsidRPr="00826BD9">
        <w:rPr>
          <w:rFonts w:eastAsia="Calibri" w:cstheme="minorHAnsi"/>
        </w:rPr>
        <w:t>) in the eastern equatorial Pacific Ocean, as revealed with archival tags. Fishery Bulletin 105</w:t>
      </w:r>
      <w:r w:rsidR="00346C8D">
        <w:rPr>
          <w:rFonts w:eastAsia="Calibri" w:cstheme="minorHAnsi"/>
        </w:rPr>
        <w:t>:</w:t>
      </w:r>
      <w:r w:rsidRPr="00826BD9">
        <w:rPr>
          <w:rFonts w:eastAsia="Calibri" w:cstheme="minorHAnsi"/>
        </w:rPr>
        <w:t xml:space="preserve"> 379-389.</w:t>
      </w:r>
    </w:p>
    <w:p w:rsidR="007D02D7" w:rsidRDefault="007D02D7" w:rsidP="00134A4E">
      <w:pPr>
        <w:spacing w:line="480" w:lineRule="auto"/>
        <w:ind w:left="720" w:hanging="720"/>
        <w:jc w:val="both"/>
        <w:rPr>
          <w:rFonts w:eastAsia="Calibri" w:cstheme="minorHAnsi"/>
        </w:rPr>
      </w:pPr>
      <w:r w:rsidRPr="00F81488">
        <w:rPr>
          <w:rFonts w:eastAsia="Calibri" w:cstheme="minorHAnsi"/>
        </w:rPr>
        <w:t xml:space="preserve">Sharp, G.D. </w:t>
      </w:r>
      <w:r>
        <w:rPr>
          <w:rFonts w:eastAsia="Calibri" w:cstheme="minorHAnsi"/>
        </w:rPr>
        <w:t>(</w:t>
      </w:r>
      <w:r w:rsidRPr="00F81488">
        <w:rPr>
          <w:rFonts w:eastAsia="Calibri" w:cstheme="minorHAnsi"/>
        </w:rPr>
        <w:t>1978</w:t>
      </w:r>
      <w:r>
        <w:rPr>
          <w:rFonts w:eastAsia="Calibri" w:cstheme="minorHAnsi"/>
        </w:rPr>
        <w:t>)</w:t>
      </w:r>
      <w:r w:rsidRPr="00F81488">
        <w:rPr>
          <w:rFonts w:eastAsia="Calibri" w:cstheme="minorHAnsi"/>
        </w:rPr>
        <w:t xml:space="preserve"> Behavorial and Physiological Properties of Tunas and Their Effects on Vulnerability to Fishing Gear. In “The Physiological Ecology of Tunas” (Sharp, G.D. and Dizon, A.E. Eds), pp. 397-449,</w:t>
      </w:r>
      <w:r w:rsidR="00346C8D">
        <w:rPr>
          <w:rFonts w:eastAsia="Calibri" w:cstheme="minorHAnsi"/>
        </w:rPr>
        <w:t xml:space="preserve"> </w:t>
      </w:r>
      <w:r w:rsidRPr="00F81488">
        <w:rPr>
          <w:rFonts w:eastAsia="Calibri" w:cstheme="minorHAnsi"/>
        </w:rPr>
        <w:t>Academic Press, San Francisco/New York.</w:t>
      </w:r>
    </w:p>
    <w:p w:rsidR="002A0767" w:rsidRDefault="002A0767" w:rsidP="00134A4E">
      <w:pPr>
        <w:spacing w:line="480" w:lineRule="auto"/>
        <w:ind w:left="720" w:hanging="720"/>
        <w:jc w:val="both"/>
        <w:rPr>
          <w:rFonts w:eastAsia="Calibri" w:cstheme="minorHAnsi"/>
        </w:rPr>
      </w:pPr>
      <w:r w:rsidRPr="002A0767">
        <w:rPr>
          <w:rFonts w:eastAsia="Calibri" w:cstheme="minorHAnsi"/>
        </w:rPr>
        <w:t>Sherrod</w:t>
      </w:r>
      <w:r w:rsidR="00346C8D">
        <w:rPr>
          <w:rFonts w:eastAsia="Calibri" w:cstheme="minorHAnsi"/>
        </w:rPr>
        <w:t>,</w:t>
      </w:r>
      <w:r w:rsidRPr="002A0767">
        <w:rPr>
          <w:rFonts w:eastAsia="Calibri" w:cstheme="minorHAnsi"/>
        </w:rPr>
        <w:t xml:space="preserve"> P</w:t>
      </w:r>
      <w:r w:rsidR="00346C8D">
        <w:rPr>
          <w:rFonts w:eastAsia="Calibri" w:cstheme="minorHAnsi"/>
        </w:rPr>
        <w:t>.</w:t>
      </w:r>
      <w:r w:rsidRPr="002A0767">
        <w:rPr>
          <w:rFonts w:eastAsia="Calibri" w:cstheme="minorHAnsi"/>
        </w:rPr>
        <w:t>H</w:t>
      </w:r>
      <w:r w:rsidR="00346C8D">
        <w:rPr>
          <w:rFonts w:eastAsia="Calibri" w:cstheme="minorHAnsi"/>
        </w:rPr>
        <w:t>.</w:t>
      </w:r>
      <w:r w:rsidRPr="002A0767">
        <w:rPr>
          <w:rFonts w:eastAsia="Calibri" w:cstheme="minorHAnsi"/>
        </w:rPr>
        <w:t xml:space="preserve"> (2003) DTREG: Classification and regression trees for data mining and modeling. www.dtreg.com/DTREG.pdf [</w:t>
      </w:r>
      <w:r>
        <w:rPr>
          <w:rFonts w:eastAsia="Calibri" w:cstheme="minorHAnsi"/>
        </w:rPr>
        <w:t>June</w:t>
      </w:r>
      <w:r w:rsidRPr="002A0767">
        <w:rPr>
          <w:rFonts w:eastAsia="Calibri" w:cstheme="minorHAnsi"/>
        </w:rPr>
        <w:t xml:space="preserve"> 201</w:t>
      </w:r>
      <w:r>
        <w:rPr>
          <w:rFonts w:eastAsia="Calibri" w:cstheme="minorHAnsi"/>
        </w:rPr>
        <w:t>4</w:t>
      </w:r>
      <w:r w:rsidRPr="002A0767">
        <w:rPr>
          <w:rFonts w:eastAsia="Calibri" w:cstheme="minorHAnsi"/>
        </w:rPr>
        <w:t xml:space="preserve">]. </w:t>
      </w:r>
    </w:p>
    <w:p w:rsidR="004D3CD5" w:rsidRDefault="004D3CD5" w:rsidP="00134A4E">
      <w:pPr>
        <w:spacing w:line="480" w:lineRule="auto"/>
        <w:ind w:left="720" w:hanging="720"/>
        <w:jc w:val="both"/>
        <w:rPr>
          <w:rFonts w:eastAsia="Calibri" w:cstheme="minorHAnsi"/>
        </w:rPr>
      </w:pPr>
      <w:r w:rsidRPr="004D3CD5">
        <w:rPr>
          <w:rFonts w:eastAsia="Calibri" w:cstheme="minorHAnsi"/>
        </w:rPr>
        <w:t xml:space="preserve">Teo, S.L.H., Boustany, A., Dewar, H., Stokesbury, M.J.W., Weng, K.C., Beemer, S., Seitz, A.C., Farwell, C.J., Prince, E.D., Block, B.A. (2007) Annual migrations, diving behavior, and thermal biology of Atlantic bluefin tuna, </w:t>
      </w:r>
      <w:r w:rsidRPr="004D3CD5">
        <w:rPr>
          <w:rFonts w:eastAsia="Calibri" w:cstheme="minorHAnsi"/>
          <w:i/>
        </w:rPr>
        <w:t>Thunnus thynnus</w:t>
      </w:r>
      <w:r w:rsidRPr="004D3CD5">
        <w:rPr>
          <w:rFonts w:eastAsia="Calibri" w:cstheme="minorHAnsi"/>
        </w:rPr>
        <w:t xml:space="preserve">, on their Gulf of Mexico breeding grounds. </w:t>
      </w:r>
      <w:r w:rsidR="00346C8D">
        <w:rPr>
          <w:rFonts w:eastAsia="Calibri" w:cstheme="minorHAnsi"/>
        </w:rPr>
        <w:t>Marine Biology</w:t>
      </w:r>
      <w:r w:rsidRPr="004D3CD5">
        <w:rPr>
          <w:rFonts w:eastAsia="Calibri" w:cstheme="minorHAnsi"/>
        </w:rPr>
        <w:t xml:space="preserve"> 151: 1-18.</w:t>
      </w:r>
    </w:p>
    <w:p w:rsidR="00826BD9" w:rsidRDefault="00826BD9" w:rsidP="00134A4E">
      <w:pPr>
        <w:spacing w:line="480" w:lineRule="auto"/>
        <w:ind w:left="720" w:hanging="720"/>
        <w:jc w:val="both"/>
        <w:rPr>
          <w:rFonts w:eastAsia="Calibri" w:cstheme="minorHAnsi"/>
        </w:rPr>
      </w:pPr>
      <w:r w:rsidRPr="00826BD9">
        <w:rPr>
          <w:rFonts w:eastAsia="Calibri" w:cstheme="minorHAnsi"/>
        </w:rPr>
        <w:t>Trenkel, V. M., Huse, G., MacKenzie, B. R., Alvarez, P., Arrizabalaga, H., Castonguay, M.,</w:t>
      </w:r>
      <w:r w:rsidR="00346C8D">
        <w:rPr>
          <w:rFonts w:eastAsia="Calibri" w:cstheme="minorHAnsi"/>
        </w:rPr>
        <w:t xml:space="preserve"> Goni, N., Gregoire, F., Hatun, H., Jansen, T., Jacobsen, J.A., Lehodey, P., Lutcavage, M., Mariani, P., Melvin, G.D., Neilson, J.D., Nottestad, L., Oskarsson, G.J., Ppayne, M.R., Richardson, D.E., Senina, I., </w:t>
      </w:r>
      <w:r w:rsidRPr="00826BD9">
        <w:rPr>
          <w:rFonts w:eastAsia="Calibri" w:cstheme="minorHAnsi"/>
        </w:rPr>
        <w:t>Speirs, D. C. (2014). Comparative ecology of widely distributed pelagic fish species in the North Atlantic: implications for modelling climate and fisheries im</w:t>
      </w:r>
      <w:r w:rsidR="00346C8D">
        <w:rPr>
          <w:rFonts w:eastAsia="Calibri" w:cstheme="minorHAnsi"/>
        </w:rPr>
        <w:t xml:space="preserve">pacts. Progress in Oceanography </w:t>
      </w:r>
      <w:r w:rsidR="00346C8D" w:rsidRPr="00346C8D">
        <w:rPr>
          <w:rFonts w:eastAsia="Calibri" w:cstheme="minorHAnsi"/>
        </w:rPr>
        <w:t>http://dx.doi.org/10.1016/j.pocean.2014.04.030</w:t>
      </w:r>
      <w:r w:rsidR="00346C8D">
        <w:rPr>
          <w:rFonts w:eastAsia="Calibri" w:cstheme="minorHAnsi"/>
        </w:rPr>
        <w:t>.</w:t>
      </w:r>
    </w:p>
    <w:p w:rsidR="00826BD9" w:rsidRDefault="00826BD9" w:rsidP="00134A4E">
      <w:pPr>
        <w:spacing w:line="480" w:lineRule="auto"/>
        <w:ind w:left="720" w:hanging="720"/>
        <w:jc w:val="both"/>
        <w:rPr>
          <w:rFonts w:eastAsia="Calibri" w:cstheme="minorHAnsi"/>
        </w:rPr>
      </w:pPr>
      <w:r w:rsidRPr="00826BD9">
        <w:rPr>
          <w:rFonts w:eastAsia="Calibri" w:cstheme="minorHAnsi"/>
        </w:rPr>
        <w:t>Ueyanagi, S. (1971). Larval distribution of tunas and billfishes in the Atlantic Ocean. FAO Fish. Report 71</w:t>
      </w:r>
      <w:r w:rsidR="00346C8D">
        <w:rPr>
          <w:rFonts w:eastAsia="Calibri" w:cstheme="minorHAnsi"/>
        </w:rPr>
        <w:t>:</w:t>
      </w:r>
      <w:r w:rsidRPr="00826BD9">
        <w:rPr>
          <w:rFonts w:eastAsia="Calibri" w:cstheme="minorHAnsi"/>
        </w:rPr>
        <w:t xml:space="preserve"> 297-305.</w:t>
      </w:r>
    </w:p>
    <w:p w:rsidR="00826BD9" w:rsidRDefault="00826BD9" w:rsidP="00134A4E">
      <w:pPr>
        <w:spacing w:line="480" w:lineRule="auto"/>
        <w:ind w:left="720" w:hanging="720"/>
        <w:jc w:val="both"/>
        <w:rPr>
          <w:rFonts w:eastAsia="Calibri" w:cstheme="minorHAnsi"/>
        </w:rPr>
      </w:pPr>
      <w:r w:rsidRPr="00826BD9">
        <w:rPr>
          <w:rFonts w:eastAsia="Calibri" w:cstheme="minorHAnsi"/>
        </w:rPr>
        <w:lastRenderedPageBreak/>
        <w:t>Wexler, J. B., Margulies, D., Scholey, V. P. (2011) Temperature and dissolved oxygen requirements for survival of yellowfin tuna</w:t>
      </w:r>
      <w:r>
        <w:rPr>
          <w:rFonts w:eastAsia="Calibri" w:cstheme="minorHAnsi"/>
        </w:rPr>
        <w:t xml:space="preserve"> </w:t>
      </w:r>
      <w:r w:rsidRPr="00826BD9">
        <w:rPr>
          <w:rFonts w:eastAsia="Calibri" w:cstheme="minorHAnsi"/>
          <w:i/>
        </w:rPr>
        <w:t>Thunnus albacares</w:t>
      </w:r>
      <w:r w:rsidRPr="00826BD9">
        <w:rPr>
          <w:rFonts w:eastAsia="Calibri" w:cstheme="minorHAnsi"/>
        </w:rPr>
        <w:t>, larvae. Journal of Experimental Marine Biology and Ecology 404</w:t>
      </w:r>
      <w:r w:rsidR="00346C8D">
        <w:rPr>
          <w:rFonts w:eastAsia="Calibri" w:cstheme="minorHAnsi"/>
        </w:rPr>
        <w:t>:</w:t>
      </w:r>
      <w:r w:rsidRPr="00826BD9">
        <w:rPr>
          <w:rFonts w:eastAsia="Calibri" w:cstheme="minorHAnsi"/>
        </w:rPr>
        <w:t xml:space="preserve"> 63-72.</w:t>
      </w:r>
    </w:p>
    <w:p w:rsidR="00835B57" w:rsidRDefault="00835B57" w:rsidP="00134A4E">
      <w:pPr>
        <w:spacing w:line="480" w:lineRule="auto"/>
        <w:ind w:left="720" w:hanging="720"/>
        <w:jc w:val="both"/>
        <w:rPr>
          <w:rFonts w:eastAsia="Calibri" w:cstheme="minorHAnsi"/>
        </w:rPr>
      </w:pPr>
    </w:p>
    <w:p w:rsidR="00835B57" w:rsidRDefault="00835B57" w:rsidP="00134A4E">
      <w:pPr>
        <w:spacing w:line="480" w:lineRule="auto"/>
        <w:ind w:left="720" w:hanging="720"/>
        <w:rPr>
          <w:color w:val="000000"/>
        </w:rPr>
      </w:pPr>
    </w:p>
    <w:p w:rsidR="00835B57" w:rsidRDefault="00835B57" w:rsidP="00134A4E">
      <w:pPr>
        <w:ind w:left="720" w:hanging="720"/>
      </w:pPr>
    </w:p>
    <w:p w:rsidR="00835B57" w:rsidRDefault="00835B57" w:rsidP="00134A4E">
      <w:pPr>
        <w:ind w:left="720" w:hanging="720"/>
        <w:jc w:val="both"/>
        <w:rPr>
          <w:rFonts w:eastAsia="Calibri" w:cstheme="minorHAnsi"/>
        </w:rPr>
      </w:pPr>
    </w:p>
    <w:p w:rsidR="001442D9" w:rsidRDefault="001442D9">
      <w:pPr>
        <w:spacing w:after="200" w:line="276" w:lineRule="auto"/>
        <w:rPr>
          <w:b/>
        </w:rPr>
      </w:pPr>
      <w:r>
        <w:rPr>
          <w:b/>
        </w:rPr>
        <w:br w:type="page"/>
      </w:r>
    </w:p>
    <w:p w:rsidR="00FE3D3C" w:rsidRDefault="00FE3D3C" w:rsidP="00F27FC9">
      <w:pPr>
        <w:autoSpaceDE w:val="0"/>
        <w:autoSpaceDN w:val="0"/>
        <w:adjustRightInd w:val="0"/>
        <w:spacing w:line="480" w:lineRule="auto"/>
        <w:jc w:val="both"/>
        <w:rPr>
          <w:b/>
        </w:rPr>
      </w:pPr>
      <w:r>
        <w:lastRenderedPageBreak/>
        <w:t xml:space="preserve">Table 1: </w:t>
      </w:r>
      <w:r w:rsidRPr="00FE3D3C">
        <w:t>Details of habitat suitability models for adult and larval skipjack and bluefin tuna, using boosted regression trees. Sensitivity, specificity and the Area under the Receive Operating Characteristic curve (AUC) are shown for the training and validation portions of the data. SST refers to sea surface temperature and T200 is temperature at 200m. Variable importance is scored out of 100.</w:t>
      </w:r>
    </w:p>
    <w:tbl>
      <w:tblPr>
        <w:tblW w:w="5000" w:type="pct"/>
        <w:tblCellMar>
          <w:left w:w="0" w:type="dxa"/>
          <w:right w:w="0" w:type="dxa"/>
        </w:tblCellMar>
        <w:tblLook w:val="0420"/>
      </w:tblPr>
      <w:tblGrid>
        <w:gridCol w:w="2010"/>
        <w:gridCol w:w="1910"/>
        <w:gridCol w:w="1910"/>
        <w:gridCol w:w="1912"/>
        <w:gridCol w:w="1906"/>
      </w:tblGrid>
      <w:tr w:rsidR="00AB387A" w:rsidRPr="00944710" w:rsidTr="00AB387A">
        <w:trPr>
          <w:trHeight w:val="584"/>
        </w:trPr>
        <w:tc>
          <w:tcPr>
            <w:tcW w:w="1041" w:type="pct"/>
            <w:tcBorders>
              <w:top w:val="single" w:sz="4" w:space="0" w:color="auto"/>
              <w:left w:val="single" w:sz="4" w:space="0" w:color="auto"/>
              <w:bottom w:val="single" w:sz="4" w:space="0" w:color="auto"/>
              <w:right w:val="single" w:sz="4" w:space="0" w:color="auto"/>
            </w:tcBorders>
            <w:shd w:val="clear" w:color="auto" w:fill="auto"/>
            <w:tcMar>
              <w:top w:w="72" w:type="dxa"/>
              <w:left w:w="144" w:type="dxa"/>
              <w:bottom w:w="72" w:type="dxa"/>
              <w:right w:w="144" w:type="dxa"/>
            </w:tcMar>
          </w:tcPr>
          <w:p w:rsidR="00AB387A" w:rsidRPr="00944710" w:rsidRDefault="00AB387A"/>
        </w:tc>
        <w:tc>
          <w:tcPr>
            <w:tcW w:w="990" w:type="pct"/>
            <w:tcBorders>
              <w:top w:val="single" w:sz="4" w:space="0" w:color="auto"/>
              <w:left w:val="single" w:sz="4" w:space="0" w:color="auto"/>
              <w:bottom w:val="single" w:sz="4" w:space="0" w:color="auto"/>
              <w:right w:val="single" w:sz="8" w:space="0" w:color="FFFFFF"/>
            </w:tcBorders>
            <w:shd w:val="clear" w:color="auto" w:fill="auto"/>
            <w:tcMar>
              <w:top w:w="72" w:type="dxa"/>
              <w:left w:w="144" w:type="dxa"/>
              <w:bottom w:w="72" w:type="dxa"/>
              <w:right w:w="144" w:type="dxa"/>
            </w:tcMar>
          </w:tcPr>
          <w:p w:rsidR="00AB387A" w:rsidRPr="00944710" w:rsidRDefault="00AB387A" w:rsidP="00AB387A">
            <w:pPr>
              <w:pStyle w:val="NormalWeb"/>
              <w:spacing w:before="0" w:beforeAutospacing="0" w:after="0" w:afterAutospacing="0"/>
            </w:pPr>
            <w:r w:rsidRPr="00944710">
              <w:rPr>
                <w:b/>
                <w:bCs/>
                <w:kern w:val="24"/>
              </w:rPr>
              <w:t>Adult BFT</w:t>
            </w:r>
          </w:p>
        </w:tc>
        <w:tc>
          <w:tcPr>
            <w:tcW w:w="990" w:type="pct"/>
            <w:tcBorders>
              <w:top w:val="single" w:sz="4" w:space="0" w:color="auto"/>
              <w:left w:val="single" w:sz="8" w:space="0" w:color="FFFFFF"/>
              <w:bottom w:val="single" w:sz="4" w:space="0" w:color="auto"/>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b/>
                <w:bCs/>
                <w:kern w:val="24"/>
              </w:rPr>
              <w:t>Adult SKJ</w:t>
            </w:r>
          </w:p>
        </w:tc>
        <w:tc>
          <w:tcPr>
            <w:tcW w:w="991" w:type="pct"/>
            <w:tcBorders>
              <w:top w:val="single" w:sz="4" w:space="0" w:color="auto"/>
              <w:left w:val="single" w:sz="8" w:space="0" w:color="FFFFFF"/>
              <w:bottom w:val="single" w:sz="4" w:space="0" w:color="auto"/>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b/>
                <w:bCs/>
                <w:kern w:val="24"/>
              </w:rPr>
              <w:t>Larval BFT</w:t>
            </w:r>
          </w:p>
        </w:tc>
        <w:tc>
          <w:tcPr>
            <w:tcW w:w="989" w:type="pct"/>
            <w:tcBorders>
              <w:top w:val="single" w:sz="4" w:space="0" w:color="auto"/>
              <w:left w:val="single" w:sz="8" w:space="0" w:color="FFFFFF"/>
              <w:bottom w:val="single" w:sz="4" w:space="0" w:color="auto"/>
              <w:right w:val="single" w:sz="4" w:space="0" w:color="auto"/>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b/>
                <w:bCs/>
                <w:kern w:val="24"/>
              </w:rPr>
              <w:t>Larval SKJ</w:t>
            </w:r>
          </w:p>
        </w:tc>
      </w:tr>
      <w:tr w:rsidR="00AB387A" w:rsidRPr="00944710" w:rsidTr="00AB387A">
        <w:trPr>
          <w:trHeight w:val="584"/>
        </w:trPr>
        <w:tc>
          <w:tcPr>
            <w:tcW w:w="1041" w:type="pct"/>
            <w:tcBorders>
              <w:top w:val="single" w:sz="4" w:space="0" w:color="auto"/>
              <w:left w:val="single" w:sz="4" w:space="0" w:color="auto"/>
              <w:bottom w:val="single" w:sz="8" w:space="0" w:color="FFFFFF"/>
              <w:right w:val="single" w:sz="4" w:space="0" w:color="auto"/>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Misclassification Cost</w:t>
            </w:r>
          </w:p>
        </w:tc>
        <w:tc>
          <w:tcPr>
            <w:tcW w:w="990" w:type="pct"/>
            <w:tcBorders>
              <w:top w:val="single" w:sz="4" w:space="0" w:color="auto"/>
              <w:left w:val="single" w:sz="4" w:space="0" w:color="auto"/>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4</w:t>
            </w:r>
          </w:p>
        </w:tc>
        <w:tc>
          <w:tcPr>
            <w:tcW w:w="990" w:type="pct"/>
            <w:tcBorders>
              <w:top w:val="single" w:sz="4" w:space="0" w:color="auto"/>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5</w:t>
            </w:r>
          </w:p>
        </w:tc>
        <w:tc>
          <w:tcPr>
            <w:tcW w:w="991" w:type="pct"/>
            <w:tcBorders>
              <w:top w:val="single" w:sz="4" w:space="0" w:color="auto"/>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5</w:t>
            </w:r>
          </w:p>
        </w:tc>
        <w:tc>
          <w:tcPr>
            <w:tcW w:w="989" w:type="pct"/>
            <w:tcBorders>
              <w:top w:val="single" w:sz="4" w:space="0" w:color="auto"/>
              <w:left w:val="single" w:sz="8" w:space="0" w:color="FFFFFF"/>
              <w:bottom w:val="single" w:sz="8" w:space="0" w:color="FFFFFF"/>
              <w:right w:val="single" w:sz="4" w:space="0" w:color="auto"/>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3</w:t>
            </w:r>
          </w:p>
        </w:tc>
      </w:tr>
      <w:tr w:rsidR="00AB387A" w:rsidRPr="00944710" w:rsidTr="00AB387A">
        <w:trPr>
          <w:trHeight w:val="584"/>
        </w:trPr>
        <w:tc>
          <w:tcPr>
            <w:tcW w:w="1041" w:type="pct"/>
            <w:tcBorders>
              <w:top w:val="single" w:sz="8" w:space="0" w:color="FFFFFF"/>
              <w:left w:val="single" w:sz="4" w:space="0" w:color="auto"/>
              <w:bottom w:val="single" w:sz="8" w:space="0" w:color="FFFFFF"/>
              <w:right w:val="single" w:sz="4" w:space="0" w:color="auto"/>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Sensitivity: Training (%)</w:t>
            </w:r>
          </w:p>
        </w:tc>
        <w:tc>
          <w:tcPr>
            <w:tcW w:w="990" w:type="pct"/>
            <w:tcBorders>
              <w:top w:val="single" w:sz="8" w:space="0" w:color="FFFFFF"/>
              <w:left w:val="single" w:sz="4" w:space="0" w:color="auto"/>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81.8</w:t>
            </w:r>
          </w:p>
        </w:tc>
        <w:tc>
          <w:tcPr>
            <w:tcW w:w="99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83.5</w:t>
            </w:r>
          </w:p>
        </w:tc>
        <w:tc>
          <w:tcPr>
            <w:tcW w:w="991"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80.8</w:t>
            </w:r>
          </w:p>
        </w:tc>
        <w:tc>
          <w:tcPr>
            <w:tcW w:w="989" w:type="pct"/>
            <w:tcBorders>
              <w:top w:val="single" w:sz="8" w:space="0" w:color="FFFFFF"/>
              <w:left w:val="single" w:sz="8" w:space="0" w:color="FFFFFF"/>
              <w:bottom w:val="single" w:sz="8" w:space="0" w:color="FFFFFF"/>
              <w:right w:val="single" w:sz="4" w:space="0" w:color="auto"/>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83.6</w:t>
            </w:r>
          </w:p>
        </w:tc>
      </w:tr>
      <w:tr w:rsidR="00AB387A" w:rsidRPr="00944710" w:rsidTr="00AB387A">
        <w:trPr>
          <w:trHeight w:val="584"/>
        </w:trPr>
        <w:tc>
          <w:tcPr>
            <w:tcW w:w="1041" w:type="pct"/>
            <w:tcBorders>
              <w:top w:val="single" w:sz="8" w:space="0" w:color="FFFFFF"/>
              <w:left w:val="single" w:sz="4" w:space="0" w:color="auto"/>
              <w:bottom w:val="single" w:sz="8" w:space="0" w:color="FFFFFF"/>
              <w:right w:val="single" w:sz="4" w:space="0" w:color="auto"/>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 xml:space="preserve">Specificity: Training (%) </w:t>
            </w:r>
          </w:p>
        </w:tc>
        <w:tc>
          <w:tcPr>
            <w:tcW w:w="990" w:type="pct"/>
            <w:tcBorders>
              <w:top w:val="single" w:sz="8" w:space="0" w:color="FFFFFF"/>
              <w:left w:val="single" w:sz="4" w:space="0" w:color="auto"/>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84.1</w:t>
            </w:r>
          </w:p>
        </w:tc>
        <w:tc>
          <w:tcPr>
            <w:tcW w:w="99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69.2</w:t>
            </w:r>
          </w:p>
        </w:tc>
        <w:tc>
          <w:tcPr>
            <w:tcW w:w="991"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71.4</w:t>
            </w:r>
          </w:p>
        </w:tc>
        <w:tc>
          <w:tcPr>
            <w:tcW w:w="989" w:type="pct"/>
            <w:tcBorders>
              <w:top w:val="single" w:sz="8" w:space="0" w:color="FFFFFF"/>
              <w:left w:val="single" w:sz="8" w:space="0" w:color="FFFFFF"/>
              <w:bottom w:val="single" w:sz="8" w:space="0" w:color="FFFFFF"/>
              <w:right w:val="single" w:sz="4" w:space="0" w:color="auto"/>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49.5</w:t>
            </w:r>
          </w:p>
        </w:tc>
      </w:tr>
      <w:tr w:rsidR="00AB387A" w:rsidRPr="00944710" w:rsidTr="00AB387A">
        <w:trPr>
          <w:trHeight w:val="584"/>
        </w:trPr>
        <w:tc>
          <w:tcPr>
            <w:tcW w:w="1041" w:type="pct"/>
            <w:tcBorders>
              <w:top w:val="single" w:sz="8" w:space="0" w:color="FFFFFF"/>
              <w:left w:val="single" w:sz="4" w:space="0" w:color="auto"/>
              <w:bottom w:val="single" w:sz="8" w:space="0" w:color="FFFFFF"/>
              <w:right w:val="single" w:sz="4" w:space="0" w:color="auto"/>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 xml:space="preserve">AUC: Training </w:t>
            </w:r>
          </w:p>
        </w:tc>
        <w:tc>
          <w:tcPr>
            <w:tcW w:w="990" w:type="pct"/>
            <w:tcBorders>
              <w:top w:val="single" w:sz="8" w:space="0" w:color="FFFFFF"/>
              <w:left w:val="single" w:sz="4" w:space="0" w:color="auto"/>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0.91</w:t>
            </w:r>
          </w:p>
        </w:tc>
        <w:tc>
          <w:tcPr>
            <w:tcW w:w="99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0.85</w:t>
            </w:r>
          </w:p>
        </w:tc>
        <w:tc>
          <w:tcPr>
            <w:tcW w:w="991"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0.84</w:t>
            </w:r>
          </w:p>
        </w:tc>
        <w:tc>
          <w:tcPr>
            <w:tcW w:w="989" w:type="pct"/>
            <w:tcBorders>
              <w:top w:val="single" w:sz="8" w:space="0" w:color="FFFFFF"/>
              <w:left w:val="single" w:sz="8" w:space="0" w:color="FFFFFF"/>
              <w:bottom w:val="single" w:sz="8" w:space="0" w:color="FFFFFF"/>
              <w:right w:val="single" w:sz="4" w:space="0" w:color="auto"/>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0.73</w:t>
            </w:r>
          </w:p>
        </w:tc>
      </w:tr>
      <w:tr w:rsidR="00AB387A" w:rsidRPr="00944710" w:rsidTr="00AB387A">
        <w:trPr>
          <w:trHeight w:val="584"/>
        </w:trPr>
        <w:tc>
          <w:tcPr>
            <w:tcW w:w="1041" w:type="pct"/>
            <w:tcBorders>
              <w:top w:val="single" w:sz="8" w:space="0" w:color="FFFFFF"/>
              <w:left w:val="single" w:sz="4" w:space="0" w:color="auto"/>
              <w:bottom w:val="single" w:sz="8" w:space="0" w:color="FFFFFF"/>
              <w:right w:val="single" w:sz="4" w:space="0" w:color="auto"/>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Sensitivity: Validation (%)</w:t>
            </w:r>
          </w:p>
        </w:tc>
        <w:tc>
          <w:tcPr>
            <w:tcW w:w="990" w:type="pct"/>
            <w:tcBorders>
              <w:top w:val="single" w:sz="8" w:space="0" w:color="FFFFFF"/>
              <w:left w:val="single" w:sz="4" w:space="0" w:color="auto"/>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71.0</w:t>
            </w:r>
          </w:p>
        </w:tc>
        <w:tc>
          <w:tcPr>
            <w:tcW w:w="99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76.6</w:t>
            </w:r>
          </w:p>
        </w:tc>
        <w:tc>
          <w:tcPr>
            <w:tcW w:w="991"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63.9</w:t>
            </w:r>
          </w:p>
        </w:tc>
        <w:tc>
          <w:tcPr>
            <w:tcW w:w="989" w:type="pct"/>
            <w:tcBorders>
              <w:top w:val="single" w:sz="8" w:space="0" w:color="FFFFFF"/>
              <w:left w:val="single" w:sz="8" w:space="0" w:color="FFFFFF"/>
              <w:bottom w:val="single" w:sz="8" w:space="0" w:color="FFFFFF"/>
              <w:right w:val="single" w:sz="4" w:space="0" w:color="auto"/>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72.9</w:t>
            </w:r>
          </w:p>
        </w:tc>
      </w:tr>
      <w:tr w:rsidR="00AB387A" w:rsidRPr="00944710" w:rsidTr="00AB387A">
        <w:trPr>
          <w:trHeight w:val="584"/>
        </w:trPr>
        <w:tc>
          <w:tcPr>
            <w:tcW w:w="1041" w:type="pct"/>
            <w:tcBorders>
              <w:top w:val="single" w:sz="8" w:space="0" w:color="FFFFFF"/>
              <w:left w:val="single" w:sz="4" w:space="0" w:color="auto"/>
              <w:bottom w:val="single" w:sz="8" w:space="0" w:color="FFFFFF"/>
              <w:right w:val="single" w:sz="4" w:space="0" w:color="auto"/>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Specificity: Validation (%)</w:t>
            </w:r>
          </w:p>
        </w:tc>
        <w:tc>
          <w:tcPr>
            <w:tcW w:w="990" w:type="pct"/>
            <w:tcBorders>
              <w:top w:val="single" w:sz="8" w:space="0" w:color="FFFFFF"/>
              <w:left w:val="single" w:sz="4" w:space="0" w:color="auto"/>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83.3</w:t>
            </w:r>
          </w:p>
        </w:tc>
        <w:tc>
          <w:tcPr>
            <w:tcW w:w="99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68.0</w:t>
            </w:r>
          </w:p>
        </w:tc>
        <w:tc>
          <w:tcPr>
            <w:tcW w:w="991"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72.9</w:t>
            </w:r>
          </w:p>
        </w:tc>
        <w:tc>
          <w:tcPr>
            <w:tcW w:w="989" w:type="pct"/>
            <w:tcBorders>
              <w:top w:val="single" w:sz="8" w:space="0" w:color="FFFFFF"/>
              <w:left w:val="single" w:sz="8" w:space="0" w:color="FFFFFF"/>
              <w:bottom w:val="single" w:sz="8" w:space="0" w:color="FFFFFF"/>
              <w:right w:val="single" w:sz="4" w:space="0" w:color="auto"/>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53.4</w:t>
            </w:r>
          </w:p>
        </w:tc>
      </w:tr>
      <w:tr w:rsidR="00AB387A" w:rsidRPr="00944710" w:rsidTr="00AB387A">
        <w:trPr>
          <w:trHeight w:val="584"/>
        </w:trPr>
        <w:tc>
          <w:tcPr>
            <w:tcW w:w="1041" w:type="pct"/>
            <w:tcBorders>
              <w:top w:val="single" w:sz="8" w:space="0" w:color="FFFFFF"/>
              <w:left w:val="single" w:sz="4" w:space="0" w:color="auto"/>
              <w:bottom w:val="single" w:sz="8" w:space="0" w:color="FFFFFF"/>
              <w:right w:val="single" w:sz="4" w:space="0" w:color="auto"/>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AUC: Validation</w:t>
            </w:r>
          </w:p>
        </w:tc>
        <w:tc>
          <w:tcPr>
            <w:tcW w:w="990" w:type="pct"/>
            <w:tcBorders>
              <w:top w:val="single" w:sz="8" w:space="0" w:color="FFFFFF"/>
              <w:left w:val="single" w:sz="4" w:space="0" w:color="auto"/>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0.85</w:t>
            </w:r>
          </w:p>
        </w:tc>
        <w:tc>
          <w:tcPr>
            <w:tcW w:w="99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0.78</w:t>
            </w:r>
          </w:p>
        </w:tc>
        <w:tc>
          <w:tcPr>
            <w:tcW w:w="991"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0.77</w:t>
            </w:r>
          </w:p>
        </w:tc>
        <w:tc>
          <w:tcPr>
            <w:tcW w:w="989" w:type="pct"/>
            <w:tcBorders>
              <w:top w:val="single" w:sz="8" w:space="0" w:color="FFFFFF"/>
              <w:left w:val="single" w:sz="8" w:space="0" w:color="FFFFFF"/>
              <w:bottom w:val="single" w:sz="8" w:space="0" w:color="FFFFFF"/>
              <w:right w:val="single" w:sz="4" w:space="0" w:color="auto"/>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0.68</w:t>
            </w:r>
          </w:p>
        </w:tc>
      </w:tr>
      <w:tr w:rsidR="00AB387A" w:rsidRPr="00944710" w:rsidTr="00AB387A">
        <w:trPr>
          <w:trHeight w:val="584"/>
        </w:trPr>
        <w:tc>
          <w:tcPr>
            <w:tcW w:w="1041" w:type="pct"/>
            <w:tcBorders>
              <w:top w:val="single" w:sz="8" w:space="0" w:color="FFFFFF"/>
              <w:left w:val="single" w:sz="4" w:space="0" w:color="auto"/>
              <w:bottom w:val="single" w:sz="8" w:space="0" w:color="FFFFFF"/>
              <w:right w:val="single" w:sz="4" w:space="0" w:color="auto"/>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Variable Importance: SST</w:t>
            </w:r>
          </w:p>
        </w:tc>
        <w:tc>
          <w:tcPr>
            <w:tcW w:w="990" w:type="pct"/>
            <w:tcBorders>
              <w:top w:val="single" w:sz="8" w:space="0" w:color="FFFFFF"/>
              <w:left w:val="single" w:sz="4" w:space="0" w:color="auto"/>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81.1</w:t>
            </w:r>
          </w:p>
        </w:tc>
        <w:tc>
          <w:tcPr>
            <w:tcW w:w="99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36.4</w:t>
            </w:r>
          </w:p>
        </w:tc>
        <w:tc>
          <w:tcPr>
            <w:tcW w:w="991"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66.3</w:t>
            </w:r>
          </w:p>
        </w:tc>
        <w:tc>
          <w:tcPr>
            <w:tcW w:w="989" w:type="pct"/>
            <w:tcBorders>
              <w:top w:val="single" w:sz="8" w:space="0" w:color="FFFFFF"/>
              <w:left w:val="single" w:sz="8" w:space="0" w:color="FFFFFF"/>
              <w:bottom w:val="single" w:sz="8" w:space="0" w:color="FFFFFF"/>
              <w:right w:val="single" w:sz="4" w:space="0" w:color="auto"/>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100</w:t>
            </w:r>
          </w:p>
        </w:tc>
      </w:tr>
      <w:tr w:rsidR="00AB387A" w:rsidRPr="00944710" w:rsidTr="00AB387A">
        <w:trPr>
          <w:trHeight w:val="584"/>
        </w:trPr>
        <w:tc>
          <w:tcPr>
            <w:tcW w:w="1041" w:type="pct"/>
            <w:tcBorders>
              <w:top w:val="single" w:sz="8" w:space="0" w:color="FFFFFF"/>
              <w:left w:val="single" w:sz="4" w:space="0" w:color="auto"/>
              <w:bottom w:val="single" w:sz="8" w:space="0" w:color="FFFFFF"/>
              <w:right w:val="single" w:sz="4" w:space="0" w:color="auto"/>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Variable Importance: T200</w:t>
            </w:r>
          </w:p>
        </w:tc>
        <w:tc>
          <w:tcPr>
            <w:tcW w:w="990" w:type="pct"/>
            <w:tcBorders>
              <w:top w:val="single" w:sz="8" w:space="0" w:color="FFFFFF"/>
              <w:left w:val="single" w:sz="4" w:space="0" w:color="auto"/>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34.2</w:t>
            </w:r>
          </w:p>
        </w:tc>
        <w:tc>
          <w:tcPr>
            <w:tcW w:w="99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37.6</w:t>
            </w:r>
          </w:p>
        </w:tc>
        <w:tc>
          <w:tcPr>
            <w:tcW w:w="991"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54.9</w:t>
            </w:r>
          </w:p>
        </w:tc>
        <w:tc>
          <w:tcPr>
            <w:tcW w:w="989" w:type="pct"/>
            <w:tcBorders>
              <w:top w:val="single" w:sz="8" w:space="0" w:color="FFFFFF"/>
              <w:left w:val="single" w:sz="8" w:space="0" w:color="FFFFFF"/>
              <w:bottom w:val="single" w:sz="8" w:space="0" w:color="FFFFFF"/>
              <w:right w:val="single" w:sz="4" w:space="0" w:color="auto"/>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18.2</w:t>
            </w:r>
          </w:p>
        </w:tc>
      </w:tr>
      <w:tr w:rsidR="00AB387A" w:rsidRPr="00944710" w:rsidTr="00AB387A">
        <w:trPr>
          <w:trHeight w:val="584"/>
        </w:trPr>
        <w:tc>
          <w:tcPr>
            <w:tcW w:w="1041" w:type="pct"/>
            <w:tcBorders>
              <w:top w:val="single" w:sz="8" w:space="0" w:color="FFFFFF"/>
              <w:left w:val="single" w:sz="4" w:space="0" w:color="auto"/>
              <w:bottom w:val="single" w:sz="8" w:space="0" w:color="FFFFFF"/>
              <w:right w:val="single" w:sz="4" w:space="0" w:color="auto"/>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Variable Importance: Depth</w:t>
            </w:r>
          </w:p>
        </w:tc>
        <w:tc>
          <w:tcPr>
            <w:tcW w:w="990" w:type="pct"/>
            <w:tcBorders>
              <w:top w:val="single" w:sz="8" w:space="0" w:color="FFFFFF"/>
              <w:left w:val="single" w:sz="4" w:space="0" w:color="auto"/>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100</w:t>
            </w:r>
          </w:p>
        </w:tc>
        <w:tc>
          <w:tcPr>
            <w:tcW w:w="990"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100</w:t>
            </w:r>
          </w:p>
        </w:tc>
        <w:tc>
          <w:tcPr>
            <w:tcW w:w="991" w:type="pct"/>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20.1</w:t>
            </w:r>
          </w:p>
        </w:tc>
        <w:tc>
          <w:tcPr>
            <w:tcW w:w="989" w:type="pct"/>
            <w:tcBorders>
              <w:top w:val="single" w:sz="8" w:space="0" w:color="FFFFFF"/>
              <w:left w:val="single" w:sz="8" w:space="0" w:color="FFFFFF"/>
              <w:bottom w:val="single" w:sz="8" w:space="0" w:color="FFFFFF"/>
              <w:right w:val="single" w:sz="4" w:space="0" w:color="auto"/>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29.4</w:t>
            </w:r>
          </w:p>
        </w:tc>
      </w:tr>
      <w:tr w:rsidR="00AB387A" w:rsidRPr="00944710" w:rsidTr="00AB387A">
        <w:trPr>
          <w:trHeight w:val="584"/>
        </w:trPr>
        <w:tc>
          <w:tcPr>
            <w:tcW w:w="1041" w:type="pct"/>
            <w:tcBorders>
              <w:top w:val="single" w:sz="8" w:space="0" w:color="FFFFFF"/>
              <w:left w:val="single" w:sz="4" w:space="0" w:color="auto"/>
              <w:bottom w:val="single" w:sz="4" w:space="0" w:color="auto"/>
              <w:right w:val="single" w:sz="4" w:space="0" w:color="auto"/>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 xml:space="preserve">Variable Importance: </w:t>
            </w:r>
            <w:r w:rsidR="006439C3" w:rsidRPr="00944710">
              <w:rPr>
                <w:color w:val="000000" w:themeColor="dark1"/>
                <w:kern w:val="24"/>
              </w:rPr>
              <w:t xml:space="preserve">Monthly </w:t>
            </w:r>
            <w:r w:rsidRPr="00944710">
              <w:rPr>
                <w:color w:val="000000" w:themeColor="dark1"/>
                <w:kern w:val="24"/>
              </w:rPr>
              <w:t>SST Trend</w:t>
            </w:r>
          </w:p>
        </w:tc>
        <w:tc>
          <w:tcPr>
            <w:tcW w:w="990" w:type="pct"/>
            <w:tcBorders>
              <w:top w:val="single" w:sz="8" w:space="0" w:color="FFFFFF"/>
              <w:left w:val="single" w:sz="4" w:space="0" w:color="auto"/>
              <w:bottom w:val="single" w:sz="4" w:space="0" w:color="auto"/>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75.7</w:t>
            </w:r>
          </w:p>
        </w:tc>
        <w:tc>
          <w:tcPr>
            <w:tcW w:w="990" w:type="pct"/>
            <w:tcBorders>
              <w:top w:val="single" w:sz="8" w:space="0" w:color="FFFFFF"/>
              <w:left w:val="single" w:sz="8" w:space="0" w:color="FFFFFF"/>
              <w:bottom w:val="single" w:sz="4" w:space="0" w:color="auto"/>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31.7</w:t>
            </w:r>
          </w:p>
        </w:tc>
        <w:tc>
          <w:tcPr>
            <w:tcW w:w="991" w:type="pct"/>
            <w:tcBorders>
              <w:top w:val="single" w:sz="8" w:space="0" w:color="FFFFFF"/>
              <w:left w:val="single" w:sz="8" w:space="0" w:color="FFFFFF"/>
              <w:bottom w:val="single" w:sz="4" w:space="0" w:color="auto"/>
              <w:right w:val="single" w:sz="8" w:space="0" w:color="FFFFFF"/>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100</w:t>
            </w:r>
          </w:p>
        </w:tc>
        <w:tc>
          <w:tcPr>
            <w:tcW w:w="989" w:type="pct"/>
            <w:tcBorders>
              <w:top w:val="single" w:sz="8" w:space="0" w:color="FFFFFF"/>
              <w:left w:val="single" w:sz="8" w:space="0" w:color="FFFFFF"/>
              <w:bottom w:val="single" w:sz="4" w:space="0" w:color="auto"/>
              <w:right w:val="single" w:sz="4" w:space="0" w:color="auto"/>
            </w:tcBorders>
            <w:shd w:val="clear" w:color="auto" w:fill="auto"/>
            <w:tcMar>
              <w:top w:w="72" w:type="dxa"/>
              <w:left w:w="144" w:type="dxa"/>
              <w:bottom w:w="72" w:type="dxa"/>
              <w:right w:w="144" w:type="dxa"/>
            </w:tcMar>
          </w:tcPr>
          <w:p w:rsidR="00AB387A" w:rsidRPr="00944710" w:rsidRDefault="00AB387A">
            <w:pPr>
              <w:pStyle w:val="NormalWeb"/>
              <w:spacing w:before="0" w:beforeAutospacing="0" w:after="0" w:afterAutospacing="0"/>
            </w:pPr>
            <w:r w:rsidRPr="00944710">
              <w:rPr>
                <w:color w:val="000000" w:themeColor="dark1"/>
                <w:kern w:val="24"/>
              </w:rPr>
              <w:t>38.3</w:t>
            </w:r>
          </w:p>
        </w:tc>
      </w:tr>
    </w:tbl>
    <w:p w:rsidR="001442D9" w:rsidRDefault="001442D9">
      <w:pPr>
        <w:spacing w:after="200" w:line="276" w:lineRule="auto"/>
        <w:rPr>
          <w:b/>
        </w:rPr>
      </w:pPr>
    </w:p>
    <w:p w:rsidR="001442D9" w:rsidRPr="001442D9" w:rsidRDefault="001442D9" w:rsidP="004D0C76">
      <w:pPr>
        <w:autoSpaceDE w:val="0"/>
        <w:autoSpaceDN w:val="0"/>
        <w:adjustRightInd w:val="0"/>
        <w:spacing w:line="480" w:lineRule="auto"/>
        <w:ind w:firstLine="360"/>
        <w:jc w:val="both"/>
        <w:rPr>
          <w:b/>
        </w:rPr>
      </w:pPr>
      <w:r>
        <w:rPr>
          <w:b/>
        </w:rPr>
        <w:lastRenderedPageBreak/>
        <w:t>Figure Captions</w:t>
      </w:r>
    </w:p>
    <w:p w:rsidR="004D0C76" w:rsidRDefault="00F27FC9" w:rsidP="00F27FC9">
      <w:pPr>
        <w:autoSpaceDE w:val="0"/>
        <w:autoSpaceDN w:val="0"/>
        <w:adjustRightInd w:val="0"/>
        <w:spacing w:line="480" w:lineRule="auto"/>
        <w:ind w:left="720" w:hanging="720"/>
        <w:jc w:val="both"/>
        <w:rPr>
          <w:color w:val="000000"/>
        </w:rPr>
      </w:pPr>
      <w:r w:rsidRPr="00F27FC9">
        <w:rPr>
          <w:color w:val="000000"/>
        </w:rPr>
        <w:t>Figure 1: Global surface temperature climatologies from the monthly NOAA 4km AVHRR Pathfinder v5.1 dataset 2005-2010. Seasonal means for January to March (top) and July to September (bottom) are shown.</w:t>
      </w:r>
    </w:p>
    <w:p w:rsidR="00F27FC9" w:rsidRDefault="00F27FC9" w:rsidP="00F27FC9">
      <w:pPr>
        <w:autoSpaceDE w:val="0"/>
        <w:autoSpaceDN w:val="0"/>
        <w:adjustRightInd w:val="0"/>
        <w:spacing w:line="480" w:lineRule="auto"/>
        <w:ind w:left="720" w:hanging="720"/>
        <w:jc w:val="both"/>
        <w:rPr>
          <w:color w:val="000000"/>
        </w:rPr>
      </w:pPr>
      <w:r w:rsidRPr="00F27FC9">
        <w:rPr>
          <w:color w:val="000000"/>
        </w:rPr>
        <w:t>Figure 2: Total number of data points available for adult (top), and larval catch locations (middle). Locations of five buoys used to calculate surface temperature trend by month are also shown, with NOAA identification numbers (bottom). The shaded region in each map represents the 200m depth contour.</w:t>
      </w:r>
    </w:p>
    <w:p w:rsidR="00F27FC9" w:rsidRDefault="00F27FC9" w:rsidP="00F27FC9">
      <w:pPr>
        <w:autoSpaceDE w:val="0"/>
        <w:autoSpaceDN w:val="0"/>
        <w:adjustRightInd w:val="0"/>
        <w:spacing w:line="480" w:lineRule="auto"/>
        <w:ind w:left="720" w:hanging="720"/>
        <w:jc w:val="both"/>
        <w:rPr>
          <w:color w:val="000000"/>
        </w:rPr>
      </w:pPr>
      <w:r w:rsidRPr="00F27FC9">
        <w:rPr>
          <w:color w:val="000000"/>
        </w:rPr>
        <w:t>Figure 3: Mean monthly surface temperatures at five buoys in the IAS region (top). Linear correlations between mean month-to-month surface temperature change and latitude for all five buoys in February, May, August and November (middle). Mean season-to-season surface temperature change from downscaled model outputs, for 1950, 2008, 2050 and 2090 (bottom).</w:t>
      </w:r>
    </w:p>
    <w:p w:rsidR="00F27FC9" w:rsidRDefault="00F27FC9" w:rsidP="00F27FC9">
      <w:pPr>
        <w:autoSpaceDE w:val="0"/>
        <w:autoSpaceDN w:val="0"/>
        <w:adjustRightInd w:val="0"/>
        <w:spacing w:line="480" w:lineRule="auto"/>
        <w:ind w:left="720" w:hanging="720"/>
        <w:jc w:val="both"/>
        <w:rPr>
          <w:color w:val="000000"/>
        </w:rPr>
      </w:pPr>
      <w:r w:rsidRPr="00F27FC9">
        <w:rPr>
          <w:color w:val="000000"/>
        </w:rPr>
        <w:t>Figure 4: Boosted classification tree model errors, plotted against probability of occurrence (top) and sea surface temperature (bottom). Only results from data used to train models are shown.</w:t>
      </w:r>
    </w:p>
    <w:p w:rsidR="00F27FC9" w:rsidRDefault="00F27FC9" w:rsidP="00F27FC9">
      <w:pPr>
        <w:autoSpaceDE w:val="0"/>
        <w:autoSpaceDN w:val="0"/>
        <w:adjustRightInd w:val="0"/>
        <w:spacing w:line="480" w:lineRule="auto"/>
        <w:ind w:left="720" w:hanging="720"/>
        <w:jc w:val="both"/>
        <w:rPr>
          <w:color w:val="000000"/>
        </w:rPr>
      </w:pPr>
      <w:r w:rsidRPr="00F27FC9">
        <w:rPr>
          <w:color w:val="000000"/>
        </w:rPr>
        <w:t>Figure 5: Comparison of modeled vs. observed probabilities of occurrence for adult and larval skipjack and bluefin tuna. Relationships with binned surface temperature, temperature at 200m depth, water depth and monthly surface temperature trend are shown.</w:t>
      </w:r>
    </w:p>
    <w:p w:rsidR="00F27FC9" w:rsidRDefault="00F27FC9" w:rsidP="00F27FC9">
      <w:pPr>
        <w:autoSpaceDE w:val="0"/>
        <w:autoSpaceDN w:val="0"/>
        <w:adjustRightInd w:val="0"/>
        <w:spacing w:line="480" w:lineRule="auto"/>
        <w:ind w:left="720" w:hanging="720"/>
        <w:jc w:val="both"/>
        <w:rPr>
          <w:color w:val="000000"/>
        </w:rPr>
      </w:pPr>
      <w:r w:rsidRPr="00F27FC9">
        <w:rPr>
          <w:color w:val="000000"/>
        </w:rPr>
        <w:t xml:space="preserve">Figure 6: </w:t>
      </w:r>
      <w:r w:rsidR="005522BA" w:rsidRPr="005522BA">
        <w:rPr>
          <w:color w:val="000000"/>
        </w:rPr>
        <w:t>Decadal time series of favorable habitat (spatial grid points with &gt;20% predicted probability of occurrence) for adult and larval skipjack and bluefin tuna, 1900 to 2090. Series are shown by season for the Gulf of Mexico and Caribbean Sea.</w:t>
      </w:r>
      <w:r w:rsidR="00581D49">
        <w:rPr>
          <w:color w:val="000000"/>
        </w:rPr>
        <w:t xml:space="preserve"> For adult and larval BFT, the RCP 8.5 scenario is always the series with the </w:t>
      </w:r>
      <w:r w:rsidR="00416A1B">
        <w:rPr>
          <w:color w:val="000000"/>
        </w:rPr>
        <w:t xml:space="preserve">less favorable habitat </w:t>
      </w:r>
      <w:r w:rsidR="00416A1B">
        <w:rPr>
          <w:color w:val="000000"/>
        </w:rPr>
        <w:lastRenderedPageBreak/>
        <w:t>predicted for</w:t>
      </w:r>
      <w:r w:rsidR="00581D49">
        <w:rPr>
          <w:color w:val="000000"/>
        </w:rPr>
        <w:t xml:space="preserve"> 2050 and 2090. For adult and larval SKJ, the RCP 8.5 scenario is always the series with the higher probability of occurrence in 2050 and 2090. </w:t>
      </w:r>
    </w:p>
    <w:p w:rsidR="00F27FC9" w:rsidRDefault="00F27FC9" w:rsidP="00F27FC9">
      <w:pPr>
        <w:autoSpaceDE w:val="0"/>
        <w:autoSpaceDN w:val="0"/>
        <w:adjustRightInd w:val="0"/>
        <w:spacing w:line="480" w:lineRule="auto"/>
        <w:ind w:left="720" w:hanging="720"/>
        <w:jc w:val="both"/>
        <w:rPr>
          <w:color w:val="000000"/>
        </w:rPr>
      </w:pPr>
      <w:r w:rsidRPr="00F27FC9">
        <w:rPr>
          <w:color w:val="000000"/>
        </w:rPr>
        <w:t>Figure 7: Kriged predicted probabilities of occurrence for adult (1990 – 20</w:t>
      </w:r>
      <w:r w:rsidR="001A438D">
        <w:rPr>
          <w:color w:val="000000"/>
        </w:rPr>
        <w:t>09</w:t>
      </w:r>
      <w:r w:rsidRPr="00F27FC9">
        <w:rPr>
          <w:color w:val="000000"/>
        </w:rPr>
        <w:t xml:space="preserve">) and larval (2000 – 2013) bluefin tuna by season (contours). Results are shown for the </w:t>
      </w:r>
      <w:r w:rsidR="009233F3">
        <w:rPr>
          <w:color w:val="000000"/>
        </w:rPr>
        <w:t>2000s</w:t>
      </w:r>
      <w:r w:rsidRPr="00F27FC9">
        <w:rPr>
          <w:color w:val="000000"/>
        </w:rPr>
        <w:t>, and for 2090, under RCP 8.5. Observed data from the ICCAT Task II database (adults) and SEAMAP plankton surveys (larvae) are also shown for the same time period (post maps). Locations where adults were recorded, but effort was low, are shown as open circles.</w:t>
      </w:r>
    </w:p>
    <w:p w:rsidR="00F27FC9" w:rsidRPr="00F27FC9" w:rsidRDefault="00F27FC9" w:rsidP="00F27FC9">
      <w:pPr>
        <w:spacing w:line="480" w:lineRule="auto"/>
        <w:ind w:left="720" w:hanging="720"/>
        <w:rPr>
          <w:color w:val="000000"/>
        </w:rPr>
      </w:pPr>
      <w:r w:rsidRPr="00F27FC9">
        <w:rPr>
          <w:color w:val="000000"/>
        </w:rPr>
        <w:t>Figure 8: Kriged predicted probabilities of occurrence for adult (1990 – 20</w:t>
      </w:r>
      <w:r w:rsidR="001A438D">
        <w:rPr>
          <w:color w:val="000000"/>
        </w:rPr>
        <w:t>09</w:t>
      </w:r>
      <w:r w:rsidRPr="00F27FC9">
        <w:rPr>
          <w:color w:val="000000"/>
        </w:rPr>
        <w:t xml:space="preserve">) and larval (2000 – 2013) skipjack tuna by season (contours). Results are shown for the </w:t>
      </w:r>
      <w:r w:rsidR="009233F3">
        <w:rPr>
          <w:color w:val="000000"/>
        </w:rPr>
        <w:t>2000s</w:t>
      </w:r>
      <w:r w:rsidRPr="00F27FC9">
        <w:rPr>
          <w:color w:val="000000"/>
        </w:rPr>
        <w:t xml:space="preserve">, and for 2090, under RCP 8.5. Observed data from the ICCAT Task II database (adults) and SEAMAP plankton surveys (larvae) are also shown for the same time period (post maps). Locations where adults were recorded, but effort was low, are shown as open circles. </w:t>
      </w:r>
    </w:p>
    <w:p w:rsidR="00F27FC9" w:rsidRDefault="00F27FC9" w:rsidP="00F27FC9">
      <w:pPr>
        <w:autoSpaceDE w:val="0"/>
        <w:autoSpaceDN w:val="0"/>
        <w:adjustRightInd w:val="0"/>
        <w:spacing w:line="480" w:lineRule="auto"/>
        <w:ind w:left="720" w:hanging="720"/>
        <w:jc w:val="both"/>
        <w:rPr>
          <w:color w:val="000000"/>
        </w:rPr>
      </w:pPr>
      <w:r w:rsidRPr="00F27FC9">
        <w:rPr>
          <w:color w:val="000000"/>
        </w:rPr>
        <w:t xml:space="preserve">Figure 9: Kriged model errors for adult and larval bluefin tuna by season. Results are shown for the </w:t>
      </w:r>
      <w:r w:rsidR="009233F3">
        <w:rPr>
          <w:color w:val="000000"/>
        </w:rPr>
        <w:t>2000s</w:t>
      </w:r>
      <w:r w:rsidRPr="00F27FC9">
        <w:rPr>
          <w:color w:val="000000"/>
        </w:rPr>
        <w:t xml:space="preserve">, and for 2090, under RCP 8.5. Errors were determined from the predictive success of the boosted classification tree models at different habitat suitability levels.  </w:t>
      </w:r>
    </w:p>
    <w:p w:rsidR="00F27FC9" w:rsidRDefault="00F27FC9" w:rsidP="00F27FC9">
      <w:pPr>
        <w:spacing w:line="480" w:lineRule="auto"/>
        <w:ind w:left="720" w:hanging="720"/>
        <w:rPr>
          <w:color w:val="000000"/>
        </w:rPr>
      </w:pPr>
      <w:r w:rsidRPr="00F27FC9">
        <w:rPr>
          <w:color w:val="000000"/>
        </w:rPr>
        <w:t xml:space="preserve">Figure 10: Kriged model errors for adult and larval skipjack tuna by season. Results are shown for the </w:t>
      </w:r>
      <w:r w:rsidR="009233F3">
        <w:rPr>
          <w:color w:val="000000"/>
        </w:rPr>
        <w:t>2000s</w:t>
      </w:r>
      <w:r w:rsidRPr="00F27FC9">
        <w:rPr>
          <w:color w:val="000000"/>
        </w:rPr>
        <w:t xml:space="preserve">, and for 2090, under RCP 8.5. Errors were determined from the predictive success of the boosted classification tree models at different habitat suitability levels.  </w:t>
      </w:r>
    </w:p>
    <w:p w:rsidR="00BC42E2" w:rsidRDefault="00AB387A" w:rsidP="00AB387A">
      <w:pPr>
        <w:spacing w:line="480" w:lineRule="auto"/>
        <w:ind w:left="720" w:hanging="720"/>
      </w:pPr>
      <w:r w:rsidRPr="00330E91">
        <w:t xml:space="preserve">Figure 11: </w:t>
      </w:r>
      <w:bookmarkStart w:id="2" w:name="_GoBack"/>
      <w:bookmarkEnd w:id="2"/>
      <w:r w:rsidR="00330E91" w:rsidRPr="00330E91">
        <w:t>Mean spring  (April – June) probabilities of larval bluefin tuna occurrence compared between habitat models run on downscaled temperature data, and low resolution data from global climate models, interpolated onto a 1x1° grid (Liu et al., this volume). Areas with water depths shallower than 200m are shaded.</w:t>
      </w:r>
    </w:p>
    <w:p w:rsidR="007C518E" w:rsidRDefault="007C518E" w:rsidP="00AB387A">
      <w:pPr>
        <w:spacing w:line="480" w:lineRule="auto"/>
        <w:ind w:left="720" w:hanging="720"/>
      </w:pPr>
    </w:p>
    <w:p w:rsidR="007C518E" w:rsidRDefault="007C518E" w:rsidP="007C518E">
      <w:pPr>
        <w:suppressLineNumbers/>
      </w:pPr>
      <w:r>
        <w:lastRenderedPageBreak/>
        <w:t>Fig. 1</w:t>
      </w:r>
    </w:p>
    <w:p w:rsidR="007C518E" w:rsidRDefault="007C518E" w:rsidP="007C518E">
      <w:pPr>
        <w:suppressLineNumbers/>
      </w:pPr>
      <w:r w:rsidRPr="009D41D4">
        <w:rPr>
          <w:noProof/>
        </w:rPr>
        <w:drawing>
          <wp:inline distT="0" distB="0" distL="0" distR="0">
            <wp:extent cx="5943600" cy="3101857"/>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101857"/>
                    </a:xfrm>
                    <a:prstGeom prst="rect">
                      <a:avLst/>
                    </a:prstGeom>
                    <a:noFill/>
                    <a:ln>
                      <a:noFill/>
                    </a:ln>
                  </pic:spPr>
                </pic:pic>
              </a:graphicData>
            </a:graphic>
          </wp:inline>
        </w:drawing>
      </w:r>
    </w:p>
    <w:p w:rsidR="007C518E" w:rsidRDefault="007C518E" w:rsidP="007C518E">
      <w:pPr>
        <w:suppressLineNumbers/>
      </w:pPr>
      <w:r>
        <w:br w:type="page"/>
      </w:r>
    </w:p>
    <w:p w:rsidR="007C518E" w:rsidRDefault="007C518E" w:rsidP="007C518E">
      <w:pPr>
        <w:suppressLineNumbers/>
      </w:pPr>
      <w:r>
        <w:lastRenderedPageBreak/>
        <w:t>Fig. 2</w:t>
      </w:r>
    </w:p>
    <w:p w:rsidR="007C518E" w:rsidRDefault="007C518E" w:rsidP="007C518E">
      <w:pPr>
        <w:suppressLineNumbers/>
      </w:pPr>
      <w:r w:rsidRPr="007E598E">
        <w:rPr>
          <w:noProof/>
        </w:rPr>
        <w:drawing>
          <wp:inline distT="0" distB="0" distL="0" distR="0">
            <wp:extent cx="3724275" cy="68484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24275" cy="6848475"/>
                    </a:xfrm>
                    <a:prstGeom prst="rect">
                      <a:avLst/>
                    </a:prstGeom>
                    <a:noFill/>
                    <a:ln>
                      <a:noFill/>
                    </a:ln>
                  </pic:spPr>
                </pic:pic>
              </a:graphicData>
            </a:graphic>
          </wp:inline>
        </w:drawing>
      </w:r>
    </w:p>
    <w:p w:rsidR="007C518E" w:rsidRDefault="007C518E" w:rsidP="007C518E">
      <w:pPr>
        <w:suppressLineNumbers/>
      </w:pPr>
      <w:r>
        <w:br w:type="page"/>
      </w:r>
    </w:p>
    <w:p w:rsidR="007C518E" w:rsidRDefault="007C518E" w:rsidP="007C518E">
      <w:pPr>
        <w:suppressLineNumbers/>
      </w:pPr>
      <w:r>
        <w:lastRenderedPageBreak/>
        <w:t>Fig. 3</w:t>
      </w:r>
    </w:p>
    <w:p w:rsidR="007C518E" w:rsidRDefault="007C518E" w:rsidP="007C518E">
      <w:pPr>
        <w:suppressLineNumbers/>
      </w:pPr>
      <w:r w:rsidRPr="009D41D4">
        <w:rPr>
          <w:noProof/>
        </w:rPr>
        <w:drawing>
          <wp:inline distT="0" distB="0" distL="0" distR="0">
            <wp:extent cx="4486275" cy="68389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86275" cy="6838950"/>
                    </a:xfrm>
                    <a:prstGeom prst="rect">
                      <a:avLst/>
                    </a:prstGeom>
                    <a:noFill/>
                    <a:ln>
                      <a:noFill/>
                    </a:ln>
                  </pic:spPr>
                </pic:pic>
              </a:graphicData>
            </a:graphic>
          </wp:inline>
        </w:drawing>
      </w:r>
    </w:p>
    <w:p w:rsidR="007C518E" w:rsidRDefault="007C518E" w:rsidP="007C518E">
      <w:pPr>
        <w:suppressLineNumbers/>
      </w:pPr>
      <w:r>
        <w:br w:type="page"/>
      </w:r>
    </w:p>
    <w:p w:rsidR="007C518E" w:rsidRDefault="007C518E" w:rsidP="007C518E">
      <w:pPr>
        <w:suppressLineNumbers/>
      </w:pPr>
      <w:r>
        <w:lastRenderedPageBreak/>
        <w:t>Fig. 4</w:t>
      </w:r>
    </w:p>
    <w:p w:rsidR="007C518E" w:rsidRDefault="007C518E" w:rsidP="007C518E">
      <w:pPr>
        <w:suppressLineNumbers/>
      </w:pPr>
      <w:r w:rsidRPr="007E598E">
        <w:rPr>
          <w:noProof/>
        </w:rPr>
        <w:drawing>
          <wp:inline distT="0" distB="0" distL="0" distR="0">
            <wp:extent cx="5943600" cy="358253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582530"/>
                    </a:xfrm>
                    <a:prstGeom prst="rect">
                      <a:avLst/>
                    </a:prstGeom>
                    <a:noFill/>
                    <a:ln>
                      <a:noFill/>
                    </a:ln>
                  </pic:spPr>
                </pic:pic>
              </a:graphicData>
            </a:graphic>
          </wp:inline>
        </w:drawing>
      </w:r>
    </w:p>
    <w:p w:rsidR="007C518E" w:rsidRDefault="007C518E" w:rsidP="007C518E">
      <w:pPr>
        <w:suppressLineNumbers/>
      </w:pPr>
      <w:r>
        <w:br w:type="page"/>
      </w:r>
    </w:p>
    <w:p w:rsidR="007C518E" w:rsidRDefault="007C518E" w:rsidP="007C518E">
      <w:pPr>
        <w:suppressLineNumbers/>
      </w:pPr>
      <w:r>
        <w:lastRenderedPageBreak/>
        <w:t>Fig. 5</w:t>
      </w:r>
    </w:p>
    <w:p w:rsidR="007C518E" w:rsidRDefault="007C518E" w:rsidP="007C518E">
      <w:pPr>
        <w:suppressLineNumbers/>
      </w:pPr>
      <w:r w:rsidRPr="007E598E">
        <w:rPr>
          <w:noProof/>
        </w:rPr>
        <w:drawing>
          <wp:inline distT="0" distB="0" distL="0" distR="0">
            <wp:extent cx="5943600" cy="5026768"/>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5026768"/>
                    </a:xfrm>
                    <a:prstGeom prst="rect">
                      <a:avLst/>
                    </a:prstGeom>
                    <a:noFill/>
                    <a:ln>
                      <a:noFill/>
                    </a:ln>
                  </pic:spPr>
                </pic:pic>
              </a:graphicData>
            </a:graphic>
          </wp:inline>
        </w:drawing>
      </w:r>
    </w:p>
    <w:p w:rsidR="007C518E" w:rsidRDefault="007C518E" w:rsidP="007C518E">
      <w:pPr>
        <w:suppressLineNumbers/>
      </w:pPr>
      <w:r>
        <w:br w:type="page"/>
      </w:r>
    </w:p>
    <w:p w:rsidR="007C518E" w:rsidRDefault="007C518E" w:rsidP="007C518E">
      <w:pPr>
        <w:suppressLineNumbers/>
      </w:pPr>
      <w:r>
        <w:lastRenderedPageBreak/>
        <w:t>Fig. 6</w:t>
      </w:r>
    </w:p>
    <w:p w:rsidR="007C518E" w:rsidRDefault="007C518E" w:rsidP="007C518E">
      <w:pPr>
        <w:suppressLineNumbers/>
      </w:pPr>
      <w:r w:rsidRPr="00701A75">
        <w:rPr>
          <w:noProof/>
        </w:rPr>
        <w:drawing>
          <wp:inline distT="0" distB="0" distL="0" distR="0">
            <wp:extent cx="5943600" cy="339283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392831"/>
                    </a:xfrm>
                    <a:prstGeom prst="rect">
                      <a:avLst/>
                    </a:prstGeom>
                    <a:noFill/>
                    <a:ln>
                      <a:noFill/>
                    </a:ln>
                  </pic:spPr>
                </pic:pic>
              </a:graphicData>
            </a:graphic>
          </wp:inline>
        </w:drawing>
      </w:r>
    </w:p>
    <w:p w:rsidR="007C518E" w:rsidRDefault="007C518E" w:rsidP="007C518E">
      <w:pPr>
        <w:suppressLineNumbers/>
      </w:pPr>
      <w:r>
        <w:br w:type="page"/>
      </w:r>
    </w:p>
    <w:p w:rsidR="007C518E" w:rsidRDefault="007C518E" w:rsidP="007C518E">
      <w:pPr>
        <w:suppressLineNumbers/>
      </w:pPr>
      <w:r>
        <w:lastRenderedPageBreak/>
        <w:t>Fig. 7</w:t>
      </w:r>
    </w:p>
    <w:p w:rsidR="007C518E" w:rsidRDefault="007C518E" w:rsidP="007C518E">
      <w:pPr>
        <w:suppressLineNumbers/>
      </w:pPr>
      <w:r w:rsidRPr="007E598E">
        <w:rPr>
          <w:noProof/>
        </w:rPr>
        <w:drawing>
          <wp:inline distT="0" distB="0" distL="0" distR="0">
            <wp:extent cx="5943600" cy="424180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241800"/>
                    </a:xfrm>
                    <a:prstGeom prst="rect">
                      <a:avLst/>
                    </a:prstGeom>
                    <a:noFill/>
                    <a:ln>
                      <a:noFill/>
                    </a:ln>
                  </pic:spPr>
                </pic:pic>
              </a:graphicData>
            </a:graphic>
          </wp:inline>
        </w:drawing>
      </w:r>
    </w:p>
    <w:p w:rsidR="007C518E" w:rsidRDefault="007C518E" w:rsidP="007C518E">
      <w:pPr>
        <w:suppressLineNumbers/>
      </w:pPr>
      <w:r>
        <w:br w:type="page"/>
      </w:r>
    </w:p>
    <w:p w:rsidR="007C518E" w:rsidRDefault="007C518E" w:rsidP="007C518E">
      <w:pPr>
        <w:suppressLineNumbers/>
      </w:pPr>
      <w:r>
        <w:lastRenderedPageBreak/>
        <w:t>Fig. 8</w:t>
      </w:r>
    </w:p>
    <w:p w:rsidR="007C518E" w:rsidRDefault="007C518E" w:rsidP="007C518E">
      <w:pPr>
        <w:suppressLineNumbers/>
      </w:pPr>
      <w:r w:rsidRPr="007E598E">
        <w:rPr>
          <w:noProof/>
        </w:rPr>
        <w:drawing>
          <wp:inline distT="0" distB="0" distL="0" distR="0">
            <wp:extent cx="5943600" cy="424180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241800"/>
                    </a:xfrm>
                    <a:prstGeom prst="rect">
                      <a:avLst/>
                    </a:prstGeom>
                    <a:noFill/>
                    <a:ln>
                      <a:noFill/>
                    </a:ln>
                  </pic:spPr>
                </pic:pic>
              </a:graphicData>
            </a:graphic>
          </wp:inline>
        </w:drawing>
      </w:r>
    </w:p>
    <w:p w:rsidR="007C518E" w:rsidRDefault="007C518E" w:rsidP="007C518E">
      <w:pPr>
        <w:suppressLineNumbers/>
      </w:pPr>
      <w:r>
        <w:br w:type="page"/>
      </w:r>
    </w:p>
    <w:p w:rsidR="007C518E" w:rsidRDefault="007C518E" w:rsidP="007C518E">
      <w:pPr>
        <w:suppressLineNumbers/>
      </w:pPr>
      <w:r>
        <w:lastRenderedPageBreak/>
        <w:t>Fig. 9</w:t>
      </w:r>
    </w:p>
    <w:p w:rsidR="007C518E" w:rsidRDefault="007C518E" w:rsidP="007C518E">
      <w:pPr>
        <w:suppressLineNumbers/>
      </w:pPr>
      <w:r w:rsidRPr="007E598E">
        <w:rPr>
          <w:noProof/>
        </w:rPr>
        <w:drawing>
          <wp:inline distT="0" distB="0" distL="0" distR="0">
            <wp:extent cx="5943600" cy="4278367"/>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278367"/>
                    </a:xfrm>
                    <a:prstGeom prst="rect">
                      <a:avLst/>
                    </a:prstGeom>
                    <a:noFill/>
                    <a:ln>
                      <a:noFill/>
                    </a:ln>
                  </pic:spPr>
                </pic:pic>
              </a:graphicData>
            </a:graphic>
          </wp:inline>
        </w:drawing>
      </w:r>
    </w:p>
    <w:p w:rsidR="007C518E" w:rsidRDefault="007C518E" w:rsidP="007C518E">
      <w:pPr>
        <w:suppressLineNumbers/>
      </w:pPr>
      <w:r>
        <w:br w:type="page"/>
      </w:r>
    </w:p>
    <w:p w:rsidR="007C518E" w:rsidRDefault="007C518E" w:rsidP="007C518E">
      <w:pPr>
        <w:suppressLineNumbers/>
      </w:pPr>
      <w:r>
        <w:lastRenderedPageBreak/>
        <w:t>Fig. 10</w:t>
      </w:r>
    </w:p>
    <w:p w:rsidR="007C518E" w:rsidRDefault="007C518E" w:rsidP="007C518E">
      <w:pPr>
        <w:suppressLineNumbers/>
      </w:pPr>
      <w:r w:rsidRPr="007E598E">
        <w:rPr>
          <w:noProof/>
        </w:rPr>
        <w:drawing>
          <wp:inline distT="0" distB="0" distL="0" distR="0">
            <wp:extent cx="5943600" cy="431088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4310885"/>
                    </a:xfrm>
                    <a:prstGeom prst="rect">
                      <a:avLst/>
                    </a:prstGeom>
                    <a:noFill/>
                    <a:ln>
                      <a:noFill/>
                    </a:ln>
                  </pic:spPr>
                </pic:pic>
              </a:graphicData>
            </a:graphic>
          </wp:inline>
        </w:drawing>
      </w:r>
    </w:p>
    <w:p w:rsidR="007C518E" w:rsidRDefault="007C518E" w:rsidP="007C518E">
      <w:pPr>
        <w:suppressLineNumbers/>
      </w:pPr>
      <w:r>
        <w:br w:type="page"/>
      </w:r>
    </w:p>
    <w:p w:rsidR="007C518E" w:rsidRDefault="007C518E" w:rsidP="007C518E">
      <w:pPr>
        <w:suppressLineNumbers/>
      </w:pPr>
      <w:r>
        <w:lastRenderedPageBreak/>
        <w:t>Fig. 11</w:t>
      </w:r>
    </w:p>
    <w:p w:rsidR="007C518E" w:rsidRDefault="007C518E" w:rsidP="007C518E">
      <w:pPr>
        <w:suppressLineNumbers/>
      </w:pPr>
      <w:r w:rsidRPr="00361B65">
        <w:rPr>
          <w:noProof/>
        </w:rPr>
        <w:drawing>
          <wp:inline distT="0" distB="0" distL="0" distR="0">
            <wp:extent cx="4857750" cy="63150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7750" cy="6315075"/>
                    </a:xfrm>
                    <a:prstGeom prst="rect">
                      <a:avLst/>
                    </a:prstGeom>
                    <a:noFill/>
                    <a:ln>
                      <a:noFill/>
                    </a:ln>
                  </pic:spPr>
                </pic:pic>
              </a:graphicData>
            </a:graphic>
          </wp:inline>
        </w:drawing>
      </w:r>
    </w:p>
    <w:p w:rsidR="007C518E" w:rsidRDefault="007C518E" w:rsidP="007C518E">
      <w:pPr>
        <w:suppressLineNumbers/>
      </w:pPr>
    </w:p>
    <w:p w:rsidR="007C518E" w:rsidRPr="00330E91" w:rsidRDefault="007C518E" w:rsidP="007C518E">
      <w:pPr>
        <w:suppressLineNumbers/>
        <w:spacing w:line="480" w:lineRule="auto"/>
        <w:ind w:left="720" w:hanging="720"/>
      </w:pPr>
    </w:p>
    <w:sectPr w:rsidR="007C518E" w:rsidRPr="00330E91" w:rsidSect="00134A4E">
      <w:type w:val="continuous"/>
      <w:pgSz w:w="12240" w:h="15840"/>
      <w:pgMar w:top="1440" w:right="1440" w:bottom="1440" w:left="1440" w:header="720" w:footer="720" w:gutter="0"/>
      <w:lnNumType w:countBy="1" w:restart="continuou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41D62" w:rsidRDefault="00D41D62" w:rsidP="00F37CB0">
      <w:r>
        <w:separator/>
      </w:r>
    </w:p>
  </w:endnote>
  <w:endnote w:type="continuationSeparator" w:id="0">
    <w:p w:rsidR="00D41D62" w:rsidRDefault="00D41D62" w:rsidP="00F37CB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10101010101010101"/>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00"/>
    <w:family w:val="swiss"/>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A00002EF" w:usb1="420020E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06138798"/>
      <w:docPartObj>
        <w:docPartGallery w:val="Page Numbers (Bottom of Page)"/>
        <w:docPartUnique/>
      </w:docPartObj>
    </w:sdtPr>
    <w:sdtEndPr>
      <w:rPr>
        <w:noProof/>
      </w:rPr>
    </w:sdtEndPr>
    <w:sdtContent>
      <w:p w:rsidR="00F37CB0" w:rsidRDefault="009047DC">
        <w:pPr>
          <w:pStyle w:val="Footer"/>
          <w:jc w:val="right"/>
        </w:pPr>
        <w:r>
          <w:fldChar w:fldCharType="begin"/>
        </w:r>
        <w:r w:rsidR="00F37CB0">
          <w:instrText xml:space="preserve"> PAGE   \* MERGEFORMAT </w:instrText>
        </w:r>
        <w:r>
          <w:fldChar w:fldCharType="separate"/>
        </w:r>
        <w:r w:rsidR="00801846">
          <w:rPr>
            <w:noProof/>
          </w:rPr>
          <w:t>45</w:t>
        </w:r>
        <w:r>
          <w:rPr>
            <w:noProof/>
          </w:rPr>
          <w:fldChar w:fldCharType="end"/>
        </w:r>
      </w:p>
    </w:sdtContent>
  </w:sdt>
  <w:p w:rsidR="00F37CB0" w:rsidRDefault="00F37CB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41D62" w:rsidRDefault="00D41D62" w:rsidP="00F37CB0">
      <w:r>
        <w:separator/>
      </w:r>
    </w:p>
  </w:footnote>
  <w:footnote w:type="continuationSeparator" w:id="0">
    <w:p w:rsidR="00D41D62" w:rsidRDefault="00D41D62" w:rsidP="00F37CB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5F1BE2"/>
    <w:multiLevelType w:val="hybridMultilevel"/>
    <w:tmpl w:val="B78880E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C880DC5"/>
    <w:multiLevelType w:val="hybridMultilevel"/>
    <w:tmpl w:val="D91A63DA"/>
    <w:lvl w:ilvl="0" w:tplc="9C144016">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D464DC4"/>
    <w:multiLevelType w:val="hybridMultilevel"/>
    <w:tmpl w:val="C2C2149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4FA95160"/>
    <w:multiLevelType w:val="hybridMultilevel"/>
    <w:tmpl w:val="9E3A8C1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18655D4"/>
    <w:multiLevelType w:val="hybridMultilevel"/>
    <w:tmpl w:val="9E3A8C1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3741B29"/>
    <w:multiLevelType w:val="hybridMultilevel"/>
    <w:tmpl w:val="726AC3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4"/>
  </w:num>
  <w:num w:numId="5">
    <w:abstractNumId w:val="0"/>
  </w:num>
  <w:num w:numId="6">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footnotePr>
    <w:footnote w:id="-1"/>
    <w:footnote w:id="0"/>
  </w:footnotePr>
  <w:endnotePr>
    <w:endnote w:id="-1"/>
    <w:endnote w:id="0"/>
  </w:endnotePr>
  <w:compat/>
  <w:rsids>
    <w:rsidRoot w:val="00BC42E2"/>
    <w:rsid w:val="00005AFA"/>
    <w:rsid w:val="00006999"/>
    <w:rsid w:val="000105D6"/>
    <w:rsid w:val="00017C1C"/>
    <w:rsid w:val="000324E7"/>
    <w:rsid w:val="00043E53"/>
    <w:rsid w:val="00076794"/>
    <w:rsid w:val="00076E48"/>
    <w:rsid w:val="000949B9"/>
    <w:rsid w:val="000A7680"/>
    <w:rsid w:val="000B2268"/>
    <w:rsid w:val="000B4125"/>
    <w:rsid w:val="000C7E06"/>
    <w:rsid w:val="00101AC1"/>
    <w:rsid w:val="00111CCC"/>
    <w:rsid w:val="00131B13"/>
    <w:rsid w:val="00134A4E"/>
    <w:rsid w:val="001413D7"/>
    <w:rsid w:val="001442D9"/>
    <w:rsid w:val="00145A86"/>
    <w:rsid w:val="001500C3"/>
    <w:rsid w:val="00151D7C"/>
    <w:rsid w:val="00163F9E"/>
    <w:rsid w:val="00180216"/>
    <w:rsid w:val="0018512A"/>
    <w:rsid w:val="0018661E"/>
    <w:rsid w:val="0019424A"/>
    <w:rsid w:val="001A29D4"/>
    <w:rsid w:val="001A438D"/>
    <w:rsid w:val="001A4657"/>
    <w:rsid w:val="001B1833"/>
    <w:rsid w:val="001C1710"/>
    <w:rsid w:val="001C6810"/>
    <w:rsid w:val="001D654B"/>
    <w:rsid w:val="001F11D4"/>
    <w:rsid w:val="001F6AB7"/>
    <w:rsid w:val="0020428B"/>
    <w:rsid w:val="0020505C"/>
    <w:rsid w:val="00241E8C"/>
    <w:rsid w:val="002451D5"/>
    <w:rsid w:val="0024601E"/>
    <w:rsid w:val="0025080F"/>
    <w:rsid w:val="002841E4"/>
    <w:rsid w:val="00284B70"/>
    <w:rsid w:val="002A008E"/>
    <w:rsid w:val="002A0767"/>
    <w:rsid w:val="00306540"/>
    <w:rsid w:val="003066BF"/>
    <w:rsid w:val="0031005E"/>
    <w:rsid w:val="00310D5E"/>
    <w:rsid w:val="003277DA"/>
    <w:rsid w:val="00330E91"/>
    <w:rsid w:val="00342DF2"/>
    <w:rsid w:val="003439FC"/>
    <w:rsid w:val="0034684E"/>
    <w:rsid w:val="00346C8D"/>
    <w:rsid w:val="003471E6"/>
    <w:rsid w:val="0036037B"/>
    <w:rsid w:val="00364543"/>
    <w:rsid w:val="00367733"/>
    <w:rsid w:val="00390457"/>
    <w:rsid w:val="00393D0F"/>
    <w:rsid w:val="003A6F15"/>
    <w:rsid w:val="003B536D"/>
    <w:rsid w:val="003C1395"/>
    <w:rsid w:val="003C4E14"/>
    <w:rsid w:val="003D03F9"/>
    <w:rsid w:val="003D068C"/>
    <w:rsid w:val="003D346F"/>
    <w:rsid w:val="003D7D42"/>
    <w:rsid w:val="00406F0C"/>
    <w:rsid w:val="00416A1B"/>
    <w:rsid w:val="004202AB"/>
    <w:rsid w:val="00424B47"/>
    <w:rsid w:val="0043621C"/>
    <w:rsid w:val="00440645"/>
    <w:rsid w:val="00442861"/>
    <w:rsid w:val="00443E56"/>
    <w:rsid w:val="004447C5"/>
    <w:rsid w:val="00463FC9"/>
    <w:rsid w:val="00481207"/>
    <w:rsid w:val="004816FF"/>
    <w:rsid w:val="0048260E"/>
    <w:rsid w:val="0049157F"/>
    <w:rsid w:val="004C1049"/>
    <w:rsid w:val="004C7B6B"/>
    <w:rsid w:val="004D0C76"/>
    <w:rsid w:val="004D2498"/>
    <w:rsid w:val="004D3CD5"/>
    <w:rsid w:val="004D77C8"/>
    <w:rsid w:val="004E348C"/>
    <w:rsid w:val="0050098A"/>
    <w:rsid w:val="0051378F"/>
    <w:rsid w:val="00527A2B"/>
    <w:rsid w:val="00531E0E"/>
    <w:rsid w:val="00535082"/>
    <w:rsid w:val="00536C92"/>
    <w:rsid w:val="005372C9"/>
    <w:rsid w:val="005476CB"/>
    <w:rsid w:val="005522BA"/>
    <w:rsid w:val="00581D49"/>
    <w:rsid w:val="005844A3"/>
    <w:rsid w:val="00593AED"/>
    <w:rsid w:val="005B242B"/>
    <w:rsid w:val="005B5F6E"/>
    <w:rsid w:val="005C1136"/>
    <w:rsid w:val="005C24B1"/>
    <w:rsid w:val="005D04F2"/>
    <w:rsid w:val="005D1BF0"/>
    <w:rsid w:val="005F17F6"/>
    <w:rsid w:val="0060617E"/>
    <w:rsid w:val="00614431"/>
    <w:rsid w:val="006265E3"/>
    <w:rsid w:val="0063294B"/>
    <w:rsid w:val="006406B7"/>
    <w:rsid w:val="006439C3"/>
    <w:rsid w:val="006633F7"/>
    <w:rsid w:val="00666774"/>
    <w:rsid w:val="0067162F"/>
    <w:rsid w:val="00681C8D"/>
    <w:rsid w:val="006909AB"/>
    <w:rsid w:val="006A0A95"/>
    <w:rsid w:val="006A7426"/>
    <w:rsid w:val="006F0B2B"/>
    <w:rsid w:val="006F7395"/>
    <w:rsid w:val="007009E5"/>
    <w:rsid w:val="00710BA6"/>
    <w:rsid w:val="0073490C"/>
    <w:rsid w:val="00751BD2"/>
    <w:rsid w:val="007526CA"/>
    <w:rsid w:val="00753D1B"/>
    <w:rsid w:val="00774224"/>
    <w:rsid w:val="00776644"/>
    <w:rsid w:val="00790D67"/>
    <w:rsid w:val="007A0433"/>
    <w:rsid w:val="007B44D2"/>
    <w:rsid w:val="007C2CB8"/>
    <w:rsid w:val="007C518E"/>
    <w:rsid w:val="007D02D7"/>
    <w:rsid w:val="007D441F"/>
    <w:rsid w:val="007D7891"/>
    <w:rsid w:val="007E5C3D"/>
    <w:rsid w:val="00801846"/>
    <w:rsid w:val="0081730B"/>
    <w:rsid w:val="0082571C"/>
    <w:rsid w:val="008260C4"/>
    <w:rsid w:val="00826BD9"/>
    <w:rsid w:val="00835B57"/>
    <w:rsid w:val="008365DE"/>
    <w:rsid w:val="0085024D"/>
    <w:rsid w:val="00871EF2"/>
    <w:rsid w:val="008939CA"/>
    <w:rsid w:val="0089673F"/>
    <w:rsid w:val="008A6B40"/>
    <w:rsid w:val="008A79F0"/>
    <w:rsid w:val="008B51BD"/>
    <w:rsid w:val="008C5A20"/>
    <w:rsid w:val="008D19A7"/>
    <w:rsid w:val="009047DC"/>
    <w:rsid w:val="009103B2"/>
    <w:rsid w:val="00913123"/>
    <w:rsid w:val="009233F3"/>
    <w:rsid w:val="009318D6"/>
    <w:rsid w:val="00944710"/>
    <w:rsid w:val="00945C8B"/>
    <w:rsid w:val="009468AC"/>
    <w:rsid w:val="00960CBA"/>
    <w:rsid w:val="009777BB"/>
    <w:rsid w:val="009A087F"/>
    <w:rsid w:val="009B2714"/>
    <w:rsid w:val="009B6CD0"/>
    <w:rsid w:val="009C54AA"/>
    <w:rsid w:val="009E0861"/>
    <w:rsid w:val="009F43FE"/>
    <w:rsid w:val="009F442C"/>
    <w:rsid w:val="009F46B5"/>
    <w:rsid w:val="009F5CE9"/>
    <w:rsid w:val="009F6DE3"/>
    <w:rsid w:val="00A42102"/>
    <w:rsid w:val="00A52B28"/>
    <w:rsid w:val="00A54B4F"/>
    <w:rsid w:val="00A618FD"/>
    <w:rsid w:val="00A6200F"/>
    <w:rsid w:val="00AB26E9"/>
    <w:rsid w:val="00AB3041"/>
    <w:rsid w:val="00AB387A"/>
    <w:rsid w:val="00AC02EB"/>
    <w:rsid w:val="00AC2B4C"/>
    <w:rsid w:val="00AC526F"/>
    <w:rsid w:val="00AC771E"/>
    <w:rsid w:val="00AC7D41"/>
    <w:rsid w:val="00AD70E3"/>
    <w:rsid w:val="00AE1DBA"/>
    <w:rsid w:val="00AF5775"/>
    <w:rsid w:val="00B21055"/>
    <w:rsid w:val="00B23865"/>
    <w:rsid w:val="00B2545B"/>
    <w:rsid w:val="00B43195"/>
    <w:rsid w:val="00B43A95"/>
    <w:rsid w:val="00B529CE"/>
    <w:rsid w:val="00B56A80"/>
    <w:rsid w:val="00B73E58"/>
    <w:rsid w:val="00B77EB9"/>
    <w:rsid w:val="00B81739"/>
    <w:rsid w:val="00B82F1E"/>
    <w:rsid w:val="00BA6212"/>
    <w:rsid w:val="00BC42E2"/>
    <w:rsid w:val="00BE5569"/>
    <w:rsid w:val="00BF1B95"/>
    <w:rsid w:val="00C153C9"/>
    <w:rsid w:val="00C177C1"/>
    <w:rsid w:val="00C24774"/>
    <w:rsid w:val="00C562B4"/>
    <w:rsid w:val="00C564F5"/>
    <w:rsid w:val="00CB4358"/>
    <w:rsid w:val="00CB6ADE"/>
    <w:rsid w:val="00CC054B"/>
    <w:rsid w:val="00CC71AC"/>
    <w:rsid w:val="00CD1065"/>
    <w:rsid w:val="00CF3B08"/>
    <w:rsid w:val="00D00363"/>
    <w:rsid w:val="00D10046"/>
    <w:rsid w:val="00D119C8"/>
    <w:rsid w:val="00D13B4F"/>
    <w:rsid w:val="00D15662"/>
    <w:rsid w:val="00D41D62"/>
    <w:rsid w:val="00D61029"/>
    <w:rsid w:val="00D63181"/>
    <w:rsid w:val="00D914D3"/>
    <w:rsid w:val="00D92DBF"/>
    <w:rsid w:val="00D95719"/>
    <w:rsid w:val="00DA12AD"/>
    <w:rsid w:val="00DA2879"/>
    <w:rsid w:val="00DA3033"/>
    <w:rsid w:val="00DA44EE"/>
    <w:rsid w:val="00DA47D7"/>
    <w:rsid w:val="00DA4CBF"/>
    <w:rsid w:val="00DB631A"/>
    <w:rsid w:val="00DD1109"/>
    <w:rsid w:val="00DE381B"/>
    <w:rsid w:val="00DF1846"/>
    <w:rsid w:val="00DF56F5"/>
    <w:rsid w:val="00E1118B"/>
    <w:rsid w:val="00E25B62"/>
    <w:rsid w:val="00E329C6"/>
    <w:rsid w:val="00E33C28"/>
    <w:rsid w:val="00E564C2"/>
    <w:rsid w:val="00E678A1"/>
    <w:rsid w:val="00E70E19"/>
    <w:rsid w:val="00E7514A"/>
    <w:rsid w:val="00E800D8"/>
    <w:rsid w:val="00E91559"/>
    <w:rsid w:val="00E929FA"/>
    <w:rsid w:val="00EC034B"/>
    <w:rsid w:val="00EE1E25"/>
    <w:rsid w:val="00EF32A3"/>
    <w:rsid w:val="00EF7AB1"/>
    <w:rsid w:val="00F0046C"/>
    <w:rsid w:val="00F06E0F"/>
    <w:rsid w:val="00F118CF"/>
    <w:rsid w:val="00F23601"/>
    <w:rsid w:val="00F27FC7"/>
    <w:rsid w:val="00F27FC9"/>
    <w:rsid w:val="00F37204"/>
    <w:rsid w:val="00F37CB0"/>
    <w:rsid w:val="00F427B2"/>
    <w:rsid w:val="00F448B6"/>
    <w:rsid w:val="00F560C4"/>
    <w:rsid w:val="00F6175F"/>
    <w:rsid w:val="00F8081F"/>
    <w:rsid w:val="00F867A3"/>
    <w:rsid w:val="00FB30B2"/>
    <w:rsid w:val="00FC09D3"/>
    <w:rsid w:val="00FE3D3C"/>
    <w:rsid w:val="00FF0D0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42E2"/>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WW-BodyText2">
    <w:name w:val="WW-Body Text 2"/>
    <w:basedOn w:val="Normal"/>
    <w:rsid w:val="00BC42E2"/>
    <w:pPr>
      <w:suppressAutoHyphens/>
      <w:jc w:val="both"/>
    </w:pPr>
    <w:rPr>
      <w:rFonts w:eastAsia="Batang"/>
      <w:szCs w:val="20"/>
    </w:rPr>
  </w:style>
  <w:style w:type="character" w:styleId="Hyperlink">
    <w:name w:val="Hyperlink"/>
    <w:semiHidden/>
    <w:rsid w:val="00BC42E2"/>
    <w:rPr>
      <w:color w:val="0000FF"/>
      <w:u w:val="single"/>
    </w:rPr>
  </w:style>
  <w:style w:type="paragraph" w:styleId="ListParagraph">
    <w:name w:val="List Paragraph"/>
    <w:basedOn w:val="Normal"/>
    <w:uiPriority w:val="34"/>
    <w:qFormat/>
    <w:rsid w:val="00BC42E2"/>
    <w:pPr>
      <w:ind w:left="720"/>
      <w:contextualSpacing/>
    </w:pPr>
  </w:style>
  <w:style w:type="paragraph" w:styleId="BalloonText">
    <w:name w:val="Balloon Text"/>
    <w:basedOn w:val="Normal"/>
    <w:link w:val="BalloonTextChar"/>
    <w:uiPriority w:val="99"/>
    <w:semiHidden/>
    <w:unhideWhenUsed/>
    <w:rsid w:val="00753D1B"/>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753D1B"/>
    <w:rPr>
      <w:rFonts w:ascii="Tahoma" w:hAnsi="Tahoma" w:cs="Tahoma"/>
      <w:sz w:val="16"/>
      <w:szCs w:val="16"/>
    </w:rPr>
  </w:style>
  <w:style w:type="paragraph" w:styleId="NormalWeb">
    <w:name w:val="Normal (Web)"/>
    <w:basedOn w:val="Normal"/>
    <w:uiPriority w:val="99"/>
    <w:unhideWhenUsed/>
    <w:rsid w:val="00AB387A"/>
    <w:pPr>
      <w:spacing w:before="100" w:beforeAutospacing="1" w:after="100" w:afterAutospacing="1"/>
    </w:pPr>
  </w:style>
  <w:style w:type="paragraph" w:styleId="Header">
    <w:name w:val="header"/>
    <w:basedOn w:val="Normal"/>
    <w:link w:val="HeaderChar"/>
    <w:uiPriority w:val="99"/>
    <w:unhideWhenUsed/>
    <w:rsid w:val="00F37CB0"/>
    <w:pPr>
      <w:tabs>
        <w:tab w:val="center" w:pos="4680"/>
        <w:tab w:val="right" w:pos="9360"/>
      </w:tabs>
    </w:pPr>
  </w:style>
  <w:style w:type="character" w:customStyle="1" w:styleId="HeaderChar">
    <w:name w:val="Header Char"/>
    <w:basedOn w:val="DefaultParagraphFont"/>
    <w:link w:val="Header"/>
    <w:uiPriority w:val="99"/>
    <w:rsid w:val="00F37CB0"/>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F37CB0"/>
    <w:pPr>
      <w:tabs>
        <w:tab w:val="center" w:pos="4680"/>
        <w:tab w:val="right" w:pos="9360"/>
      </w:tabs>
    </w:pPr>
  </w:style>
  <w:style w:type="character" w:customStyle="1" w:styleId="FooterChar">
    <w:name w:val="Footer Char"/>
    <w:basedOn w:val="DefaultParagraphFont"/>
    <w:link w:val="Footer"/>
    <w:uiPriority w:val="99"/>
    <w:rsid w:val="00F37CB0"/>
    <w:rPr>
      <w:rFonts w:ascii="Times New Roman" w:eastAsia="Times New Roman" w:hAnsi="Times New Roman" w:cs="Times New Roman"/>
      <w:sz w:val="24"/>
      <w:szCs w:val="24"/>
    </w:rPr>
  </w:style>
  <w:style w:type="character" w:styleId="LineNumber">
    <w:name w:val="line number"/>
    <w:basedOn w:val="DefaultParagraphFont"/>
    <w:uiPriority w:val="99"/>
    <w:semiHidden/>
    <w:unhideWhenUsed/>
    <w:rsid w:val="00134A4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42E2"/>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WW-BodyText2">
    <w:name w:val="WW-Body Text 2"/>
    <w:basedOn w:val="Normal"/>
    <w:rsid w:val="00BC42E2"/>
    <w:pPr>
      <w:suppressAutoHyphens/>
      <w:jc w:val="both"/>
    </w:pPr>
    <w:rPr>
      <w:rFonts w:eastAsia="Batang"/>
      <w:szCs w:val="20"/>
    </w:rPr>
  </w:style>
  <w:style w:type="character" w:styleId="Hyperlink">
    <w:name w:val="Hyperlink"/>
    <w:semiHidden/>
    <w:rsid w:val="00BC42E2"/>
    <w:rPr>
      <w:color w:val="0000FF"/>
      <w:u w:val="single"/>
    </w:rPr>
  </w:style>
  <w:style w:type="paragraph" w:styleId="ListParagraph">
    <w:name w:val="List Paragraph"/>
    <w:basedOn w:val="Normal"/>
    <w:uiPriority w:val="34"/>
    <w:qFormat/>
    <w:rsid w:val="00BC42E2"/>
    <w:pPr>
      <w:ind w:left="720"/>
      <w:contextualSpacing/>
    </w:pPr>
  </w:style>
  <w:style w:type="paragraph" w:styleId="BalloonText">
    <w:name w:val="Balloon Text"/>
    <w:basedOn w:val="Normal"/>
    <w:link w:val="BalloonTextChar"/>
    <w:uiPriority w:val="99"/>
    <w:semiHidden/>
    <w:unhideWhenUsed/>
    <w:rsid w:val="00753D1B"/>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753D1B"/>
    <w:rPr>
      <w:rFonts w:ascii="Tahoma" w:hAnsi="Tahoma" w:cs="Tahoma"/>
      <w:sz w:val="16"/>
      <w:szCs w:val="16"/>
    </w:rPr>
  </w:style>
  <w:style w:type="paragraph" w:styleId="NormalWeb">
    <w:name w:val="Normal (Web)"/>
    <w:basedOn w:val="Normal"/>
    <w:uiPriority w:val="99"/>
    <w:unhideWhenUsed/>
    <w:rsid w:val="00AB387A"/>
    <w:pPr>
      <w:spacing w:before="100" w:beforeAutospacing="1" w:after="100" w:afterAutospacing="1"/>
    </w:pPr>
  </w:style>
  <w:style w:type="paragraph" w:styleId="Header">
    <w:name w:val="header"/>
    <w:basedOn w:val="Normal"/>
    <w:link w:val="HeaderChar"/>
    <w:uiPriority w:val="99"/>
    <w:unhideWhenUsed/>
    <w:rsid w:val="00F37CB0"/>
    <w:pPr>
      <w:tabs>
        <w:tab w:val="center" w:pos="4680"/>
        <w:tab w:val="right" w:pos="9360"/>
      </w:tabs>
    </w:pPr>
  </w:style>
  <w:style w:type="character" w:customStyle="1" w:styleId="HeaderChar">
    <w:name w:val="Header Char"/>
    <w:basedOn w:val="DefaultParagraphFont"/>
    <w:link w:val="Header"/>
    <w:uiPriority w:val="99"/>
    <w:rsid w:val="00F37CB0"/>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F37CB0"/>
    <w:pPr>
      <w:tabs>
        <w:tab w:val="center" w:pos="4680"/>
        <w:tab w:val="right" w:pos="9360"/>
      </w:tabs>
    </w:pPr>
  </w:style>
  <w:style w:type="character" w:customStyle="1" w:styleId="FooterChar">
    <w:name w:val="Footer Char"/>
    <w:basedOn w:val="DefaultParagraphFont"/>
    <w:link w:val="Footer"/>
    <w:uiPriority w:val="99"/>
    <w:rsid w:val="00F37CB0"/>
    <w:rPr>
      <w:rFonts w:ascii="Times New Roman" w:eastAsia="Times New Roman" w:hAnsi="Times New Roman" w:cs="Times New Roman"/>
      <w:sz w:val="24"/>
      <w:szCs w:val="24"/>
    </w:rPr>
  </w:style>
  <w:style w:type="character" w:styleId="LineNumber">
    <w:name w:val="line number"/>
    <w:basedOn w:val="DefaultParagraphFont"/>
    <w:uiPriority w:val="99"/>
    <w:semiHidden/>
    <w:unhideWhenUsed/>
    <w:rsid w:val="00134A4E"/>
  </w:style>
</w:styles>
</file>

<file path=word/webSettings.xml><?xml version="1.0" encoding="utf-8"?>
<w:webSettings xmlns:r="http://schemas.openxmlformats.org/officeDocument/2006/relationships" xmlns:w="http://schemas.openxmlformats.org/wordprocessingml/2006/main">
  <w:divs>
    <w:div w:id="12780302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emf"/><Relationship Id="rId18" Type="http://schemas.openxmlformats.org/officeDocument/2006/relationships/image" Target="media/image8.emf"/><Relationship Id="rId3" Type="http://schemas.openxmlformats.org/officeDocument/2006/relationships/settings" Target="settings.xml"/><Relationship Id="rId21" Type="http://schemas.openxmlformats.org/officeDocument/2006/relationships/image" Target="media/image11.emf"/><Relationship Id="rId7" Type="http://schemas.openxmlformats.org/officeDocument/2006/relationships/hyperlink" Target="mailto:Barbara.Muhling@noaa.gov" TargetMode="External"/><Relationship Id="rId12" Type="http://schemas.openxmlformats.org/officeDocument/2006/relationships/image" Target="media/image2.emf"/><Relationship Id="rId17" Type="http://schemas.openxmlformats.org/officeDocument/2006/relationships/image" Target="media/image7.emf"/><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10.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emf"/><Relationship Id="rId24" Type="http://schemas.microsoft.com/office/2007/relationships/stylesWithEffects" Target="stylesWithEffects.xml"/><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theme" Target="theme/theme1.xml"/><Relationship Id="rId10" Type="http://schemas.openxmlformats.org/officeDocument/2006/relationships/hyperlink" Target="http://www.ndbc.noaa.gov" TargetMode="External"/><Relationship Id="rId19" Type="http://schemas.openxmlformats.org/officeDocument/2006/relationships/image" Target="media/image9.emf"/><Relationship Id="rId4" Type="http://schemas.openxmlformats.org/officeDocument/2006/relationships/webSettings" Target="webSettings.xml"/><Relationship Id="rId9" Type="http://schemas.openxmlformats.org/officeDocument/2006/relationships/hyperlink" Target="http://www.iccat.es" TargetMode="External"/><Relationship Id="rId14" Type="http://schemas.openxmlformats.org/officeDocument/2006/relationships/image" Target="media/image4.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35</TotalTime>
  <Pages>45</Pages>
  <Words>7866</Words>
  <Characters>44837</Characters>
  <Application>Microsoft Office Word</Application>
  <DocSecurity>0</DocSecurity>
  <Lines>373</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52598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Barbara Muhling</dc:creator>
  <cp:lastModifiedBy>Sang-Ki Lee</cp:lastModifiedBy>
  <cp:revision>11</cp:revision>
  <dcterms:created xsi:type="dcterms:W3CDTF">2014-08-15T17:49:00Z</dcterms:created>
  <dcterms:modified xsi:type="dcterms:W3CDTF">2014-08-18T15:36:00Z</dcterms:modified>
</cp:coreProperties>
</file>