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EA" w:rsidRPr="00BB7DFF" w:rsidRDefault="009E7AEA" w:rsidP="00A12097">
      <w:pPr>
        <w:suppressLineNumbers/>
        <w:jc w:val="center"/>
        <w:rPr>
          <w:b/>
        </w:rPr>
      </w:pPr>
      <w:r w:rsidRPr="00BB7DFF">
        <w:rPr>
          <w:b/>
        </w:rPr>
        <w:t>SOOP Report 2013 – Ricardo Domingues highlights</w:t>
      </w:r>
    </w:p>
    <w:p w:rsidR="00BB7DFF" w:rsidRDefault="008A7FAB" w:rsidP="00A12097">
      <w:pPr>
        <w:suppressLineNumbers/>
        <w:rPr>
          <w:b/>
        </w:rPr>
      </w:pPr>
      <w:r>
        <w:rPr>
          <w:b/>
        </w:rPr>
        <w:t>Paragraph</w:t>
      </w:r>
    </w:p>
    <w:p w:rsidR="00EC1D90" w:rsidRPr="00CC7F13" w:rsidRDefault="00162346" w:rsidP="005F0547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 scientific paper led by Ricardo Domingues (CIMAS/UM), the </w:t>
      </w:r>
      <w:r w:rsidR="00167D92">
        <w:rPr>
          <w:rFonts w:ascii="Times New Roman" w:hAnsi="Times New Roman" w:cs="Times New Roman"/>
        </w:rPr>
        <w:t xml:space="preserve">role of local wind stress changes in forcing variations in the structure of the Antarctic Circumpolar Current </w:t>
      </w:r>
      <w:r w:rsidR="00E74281">
        <w:rPr>
          <w:rFonts w:ascii="Times New Roman" w:hAnsi="Times New Roman" w:cs="Times New Roman"/>
        </w:rPr>
        <w:t xml:space="preserve">(ACC) </w:t>
      </w:r>
      <w:r w:rsidR="00167D92">
        <w:rPr>
          <w:rFonts w:ascii="Times New Roman" w:hAnsi="Times New Roman" w:cs="Times New Roman"/>
        </w:rPr>
        <w:t xml:space="preserve">is investigated. </w:t>
      </w:r>
      <w:r w:rsidRPr="00CC7F13">
        <w:rPr>
          <w:rFonts w:ascii="Times New Roman" w:hAnsi="Times New Roman" w:cs="Times New Roman"/>
        </w:rPr>
        <w:t xml:space="preserve">The main finding of this work is that </w:t>
      </w:r>
      <w:r w:rsidR="00A12097">
        <w:rPr>
          <w:rFonts w:ascii="Times New Roman" w:hAnsi="Times New Roman" w:cs="Times New Roman"/>
        </w:rPr>
        <w:t xml:space="preserve">changes in the structure and intensity of the westerlies force an immediate </w:t>
      </w:r>
      <w:r w:rsidR="00E74281">
        <w:rPr>
          <w:rFonts w:ascii="Times New Roman" w:hAnsi="Times New Roman" w:cs="Times New Roman"/>
        </w:rPr>
        <w:t xml:space="preserve">and integrated response in </w:t>
      </w:r>
      <w:r w:rsidR="003460A5">
        <w:rPr>
          <w:rFonts w:ascii="Times New Roman" w:hAnsi="Times New Roman" w:cs="Times New Roman"/>
        </w:rPr>
        <w:t xml:space="preserve">the upper </w:t>
      </w:r>
      <w:r w:rsidR="00E74281">
        <w:rPr>
          <w:rFonts w:ascii="Times New Roman" w:hAnsi="Times New Roman" w:cs="Times New Roman"/>
        </w:rPr>
        <w:t>layer</w:t>
      </w:r>
      <w:r w:rsidR="00013AF1">
        <w:rPr>
          <w:rFonts w:ascii="Times New Roman" w:hAnsi="Times New Roman" w:cs="Times New Roman"/>
        </w:rPr>
        <w:t xml:space="preserve"> of the ACC</w:t>
      </w:r>
      <w:r w:rsidR="00420F08">
        <w:rPr>
          <w:rFonts w:ascii="Times New Roman" w:hAnsi="Times New Roman" w:cs="Times New Roman"/>
        </w:rPr>
        <w:t>, and in the transports by the Subantarctic Front and by the Antarctic Polar Front (APF)</w:t>
      </w:r>
      <w:r w:rsidR="00AF10B1">
        <w:rPr>
          <w:rFonts w:ascii="Times New Roman" w:hAnsi="Times New Roman" w:cs="Times New Roman"/>
        </w:rPr>
        <w:t xml:space="preserve">. </w:t>
      </w:r>
      <w:r w:rsidR="009F0A88">
        <w:rPr>
          <w:rFonts w:ascii="Times New Roman" w:hAnsi="Times New Roman" w:cs="Times New Roman"/>
        </w:rPr>
        <w:t xml:space="preserve">This response occurs as follows: </w:t>
      </w:r>
      <w:r w:rsidR="00B31F8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uring p</w:t>
      </w:r>
      <w:r w:rsidRPr="00CC7F13">
        <w:rPr>
          <w:rFonts w:ascii="Times New Roman" w:hAnsi="Times New Roman" w:cs="Times New Roman"/>
        </w:rPr>
        <w:t xml:space="preserve">ositive phases </w:t>
      </w:r>
      <w:r>
        <w:rPr>
          <w:rFonts w:ascii="Times New Roman" w:hAnsi="Times New Roman" w:cs="Times New Roman"/>
        </w:rPr>
        <w:t xml:space="preserve">of the Southern Annular Mode, </w:t>
      </w:r>
      <w:r w:rsidRPr="00CC7F13">
        <w:rPr>
          <w:rFonts w:ascii="Times New Roman" w:hAnsi="Times New Roman" w:cs="Times New Roman"/>
        </w:rPr>
        <w:t xml:space="preserve">easterly anomalies </w:t>
      </w:r>
      <w:r>
        <w:rPr>
          <w:rFonts w:ascii="Times New Roman" w:hAnsi="Times New Roman" w:cs="Times New Roman"/>
        </w:rPr>
        <w:t xml:space="preserve">develop </w:t>
      </w:r>
      <w:r w:rsidRPr="00CC7F13">
        <w:rPr>
          <w:rFonts w:ascii="Times New Roman" w:hAnsi="Times New Roman" w:cs="Times New Roman"/>
        </w:rPr>
        <w:t>between 35</w:t>
      </w:r>
      <w:r w:rsidRPr="00CC7F13">
        <w:rPr>
          <w:rFonts w:ascii="Times New Roman" w:hAnsi="Times New Roman" w:cs="Times New Roman"/>
          <w:kern w:val="24"/>
          <w:vertAlign w:val="superscript"/>
        </w:rPr>
        <w:t>o</w:t>
      </w:r>
      <w:r w:rsidRPr="00CC7F13">
        <w:rPr>
          <w:rFonts w:ascii="Times New Roman" w:hAnsi="Times New Roman" w:cs="Times New Roman"/>
        </w:rPr>
        <w:t>S-45</w:t>
      </w:r>
      <w:r w:rsidRPr="00CC7F13">
        <w:rPr>
          <w:rFonts w:ascii="Times New Roman" w:hAnsi="Times New Roman" w:cs="Times New Roman"/>
          <w:kern w:val="24"/>
          <w:vertAlign w:val="superscript"/>
        </w:rPr>
        <w:t>o</w:t>
      </w:r>
      <w:r w:rsidRPr="00CC7F13">
        <w:rPr>
          <w:rFonts w:ascii="Times New Roman" w:hAnsi="Times New Roman" w:cs="Times New Roman"/>
        </w:rPr>
        <w:t xml:space="preserve">S, </w:t>
      </w:r>
      <w:r>
        <w:rPr>
          <w:rFonts w:ascii="Times New Roman" w:hAnsi="Times New Roman" w:cs="Times New Roman"/>
        </w:rPr>
        <w:t>forcing</w:t>
      </w:r>
      <w:r w:rsidRPr="00CC7F13">
        <w:rPr>
          <w:rFonts w:ascii="Times New Roman" w:hAnsi="Times New Roman" w:cs="Times New Roman"/>
        </w:rPr>
        <w:t xml:space="preserve"> the poleward advection of warmer waters through anomalous </w:t>
      </w:r>
      <w:r w:rsidR="007D2F6D">
        <w:rPr>
          <w:rFonts w:ascii="Times New Roman" w:hAnsi="Times New Roman" w:cs="Times New Roman"/>
        </w:rPr>
        <w:t xml:space="preserve">Ekman transport, and changes in the dynamic height structure, which ultimately </w:t>
      </w:r>
      <w:r w:rsidR="00225CD0">
        <w:rPr>
          <w:rFonts w:ascii="Times New Roman" w:hAnsi="Times New Roman" w:cs="Times New Roman"/>
        </w:rPr>
        <w:t xml:space="preserve">causes the deacrease (increase) of the </w:t>
      </w:r>
      <w:r w:rsidR="007D2F6D">
        <w:rPr>
          <w:rFonts w:ascii="Times New Roman" w:hAnsi="Times New Roman" w:cs="Times New Roman"/>
        </w:rPr>
        <w:t xml:space="preserve">SAF </w:t>
      </w:r>
      <w:r w:rsidR="00225CD0">
        <w:rPr>
          <w:rFonts w:ascii="Times New Roman" w:hAnsi="Times New Roman" w:cs="Times New Roman"/>
        </w:rPr>
        <w:t>(</w:t>
      </w:r>
      <w:r w:rsidR="007D2F6D">
        <w:rPr>
          <w:rFonts w:ascii="Times New Roman" w:hAnsi="Times New Roman" w:cs="Times New Roman"/>
        </w:rPr>
        <w:t>APF</w:t>
      </w:r>
      <w:r w:rsidR="00225CD0">
        <w:rPr>
          <w:rFonts w:ascii="Times New Roman" w:hAnsi="Times New Roman" w:cs="Times New Roman"/>
        </w:rPr>
        <w:t>)</w:t>
      </w:r>
      <w:r w:rsidR="007D2F6D">
        <w:rPr>
          <w:rFonts w:ascii="Times New Roman" w:hAnsi="Times New Roman" w:cs="Times New Roman"/>
        </w:rPr>
        <w:t xml:space="preserve"> geostrophic transport. </w:t>
      </w:r>
      <w:r w:rsidR="008C3388">
        <w:rPr>
          <w:rFonts w:ascii="Times New Roman" w:hAnsi="Times New Roman" w:cs="Times New Roman"/>
        </w:rPr>
        <w:t>The dynamical link between the wind stress</w:t>
      </w:r>
      <w:r w:rsidR="003C1417">
        <w:rPr>
          <w:rFonts w:ascii="Times New Roman" w:hAnsi="Times New Roman" w:cs="Times New Roman"/>
        </w:rPr>
        <w:t xml:space="preserve"> changes</w:t>
      </w:r>
      <w:r w:rsidR="008C3388">
        <w:rPr>
          <w:rFonts w:ascii="Times New Roman" w:hAnsi="Times New Roman" w:cs="Times New Roman"/>
        </w:rPr>
        <w:t xml:space="preserve"> and the dynamic height </w:t>
      </w:r>
      <w:r w:rsidR="003C1417">
        <w:rPr>
          <w:rFonts w:ascii="Times New Roman" w:hAnsi="Times New Roman" w:cs="Times New Roman"/>
        </w:rPr>
        <w:t xml:space="preserve">adjustments </w:t>
      </w:r>
      <w:r w:rsidR="008C3388">
        <w:rPr>
          <w:rFonts w:ascii="Times New Roman" w:hAnsi="Times New Roman" w:cs="Times New Roman"/>
        </w:rPr>
        <w:t>occurs as a combination of (i) thermosteric sea level rise due to warm anomalies in the Ekman layer, and of (ii) Ekman pumping driven sea level rise</w:t>
      </w:r>
      <w:r w:rsidR="00024404">
        <w:rPr>
          <w:rFonts w:ascii="Times New Roman" w:hAnsi="Times New Roman" w:cs="Times New Roman"/>
        </w:rPr>
        <w:t xml:space="preserve"> (Figure 1</w:t>
      </w:r>
      <w:r w:rsidR="003460A5">
        <w:rPr>
          <w:rFonts w:ascii="Times New Roman" w:hAnsi="Times New Roman" w:cs="Times New Roman"/>
        </w:rPr>
        <w:t>a</w:t>
      </w:r>
      <w:r w:rsidR="00024404">
        <w:rPr>
          <w:rFonts w:ascii="Times New Roman" w:hAnsi="Times New Roman" w:cs="Times New Roman"/>
        </w:rPr>
        <w:t>)</w:t>
      </w:r>
      <w:r w:rsidR="008C3388">
        <w:rPr>
          <w:rFonts w:ascii="Times New Roman" w:hAnsi="Times New Roman" w:cs="Times New Roman"/>
        </w:rPr>
        <w:t xml:space="preserve">. </w:t>
      </w:r>
      <w:r w:rsidR="00342CA2">
        <w:rPr>
          <w:rFonts w:ascii="Times New Roman" w:hAnsi="Times New Roman" w:cs="Times New Roman"/>
        </w:rPr>
        <w:t>The</w:t>
      </w:r>
      <w:r w:rsidR="0060643F">
        <w:rPr>
          <w:rFonts w:ascii="Times New Roman" w:hAnsi="Times New Roman" w:cs="Times New Roman"/>
        </w:rPr>
        <w:t>refore</w:t>
      </w:r>
      <w:r w:rsidR="00F95673">
        <w:rPr>
          <w:rFonts w:ascii="Times New Roman" w:hAnsi="Times New Roman" w:cs="Times New Roman"/>
        </w:rPr>
        <w:t>, the</w:t>
      </w:r>
      <w:r w:rsidR="00342CA2">
        <w:rPr>
          <w:rFonts w:ascii="Times New Roman" w:hAnsi="Times New Roman" w:cs="Times New Roman"/>
        </w:rPr>
        <w:t xml:space="preserve"> long term variability of the </w:t>
      </w:r>
      <w:r w:rsidR="00F95673">
        <w:rPr>
          <w:rFonts w:ascii="Times New Roman" w:hAnsi="Times New Roman" w:cs="Times New Roman"/>
        </w:rPr>
        <w:t>sea height anomaly (Figure 1b) is largely due to the sea surface temperature variability (Figure 1c), and to the Ekman pumping (not shown).</w:t>
      </w:r>
      <w:r w:rsidR="0054216B">
        <w:rPr>
          <w:rFonts w:ascii="Times New Roman" w:hAnsi="Times New Roman" w:cs="Times New Roman"/>
        </w:rPr>
        <w:t xml:space="preserve"> </w:t>
      </w:r>
      <w:r w:rsidR="00EC1D90">
        <w:rPr>
          <w:rFonts w:ascii="Times New Roman" w:hAnsi="Times New Roman" w:cs="Times New Roman"/>
        </w:rPr>
        <w:t xml:space="preserve">This mechanism may have implications for the Atlantic-Indian </w:t>
      </w:r>
      <w:r w:rsidR="00A15C6A">
        <w:rPr>
          <w:rFonts w:ascii="Times New Roman" w:hAnsi="Times New Roman" w:cs="Times New Roman"/>
        </w:rPr>
        <w:t xml:space="preserve">heat and mass </w:t>
      </w:r>
      <w:r w:rsidR="00EC1D90">
        <w:rPr>
          <w:rFonts w:ascii="Times New Roman" w:hAnsi="Times New Roman" w:cs="Times New Roman"/>
        </w:rPr>
        <w:t>exchanges. The manuscript entitled “</w:t>
      </w:r>
      <w:r w:rsidR="00EC1D90" w:rsidRPr="00392EBE">
        <w:rPr>
          <w:rFonts w:ascii="Times New Roman" w:hAnsi="Times New Roman" w:cs="Times New Roman"/>
        </w:rPr>
        <w:t>Atmospherically forced variability of the Antarctic Circumpolar Current south of Africa between 1993-2010</w:t>
      </w:r>
      <w:r w:rsidR="00EC1D90">
        <w:rPr>
          <w:rFonts w:ascii="Times New Roman" w:hAnsi="Times New Roman" w:cs="Times New Roman"/>
        </w:rPr>
        <w:t>” is currently under review at the Journal of Geophysical Research – Oceans.</w:t>
      </w:r>
    </w:p>
    <w:p w:rsidR="004777FC" w:rsidRDefault="00665107" w:rsidP="00162346">
      <w:pPr>
        <w:spacing w:line="48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3600" cy="1675529"/>
            <wp:effectExtent l="19050" t="0" r="0" b="0"/>
            <wp:docPr id="1" name="Picture 0" descr="SSH_forcing_slo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H_forcing_slop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A88" w:rsidRDefault="00E03B5A" w:rsidP="005F0547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1 </w:t>
      </w:r>
      <w:r w:rsidR="009E3A9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9E3A9C">
        <w:rPr>
          <w:rFonts w:ascii="Times New Roman" w:hAnsi="Times New Roman" w:cs="Times New Roman"/>
        </w:rPr>
        <w:t xml:space="preserve">(a) </w:t>
      </w:r>
      <w:r w:rsidR="00ED74BC">
        <w:rPr>
          <w:rFonts w:ascii="Times New Roman" w:hAnsi="Times New Roman" w:cs="Times New Roman"/>
        </w:rPr>
        <w:t xml:space="preserve">Contribution of the thermosteric </w:t>
      </w:r>
      <w:r w:rsidR="00FF74C0">
        <w:rPr>
          <w:rFonts w:ascii="Times New Roman" w:hAnsi="Times New Roman" w:cs="Times New Roman"/>
        </w:rPr>
        <w:t xml:space="preserve">component </w:t>
      </w:r>
      <w:r w:rsidR="00ED74BC">
        <w:rPr>
          <w:rFonts w:ascii="Times New Roman" w:hAnsi="Times New Roman" w:cs="Times New Roman"/>
        </w:rPr>
        <w:t xml:space="preserve">(red line) </w:t>
      </w:r>
      <w:r w:rsidR="00FF74C0">
        <w:rPr>
          <w:rFonts w:ascii="Times New Roman" w:hAnsi="Times New Roman" w:cs="Times New Roman"/>
        </w:rPr>
        <w:t xml:space="preserve">and of the Ekman pumping component (black line) for the sea height anomaly variability </w:t>
      </w:r>
      <w:r w:rsidR="00DF3B7D">
        <w:rPr>
          <w:rFonts w:ascii="Times New Roman" w:hAnsi="Times New Roman" w:cs="Times New Roman"/>
        </w:rPr>
        <w:t xml:space="preserve">as a function of latitude. </w:t>
      </w:r>
      <w:r w:rsidR="00424483">
        <w:rPr>
          <w:rFonts w:ascii="Times New Roman" w:hAnsi="Times New Roman" w:cs="Times New Roman"/>
        </w:rPr>
        <w:t>(b) Observed sea height anomaly variability for time scales longer than the annual.</w:t>
      </w:r>
      <w:r w:rsidR="00ED3EE4">
        <w:rPr>
          <w:rFonts w:ascii="Times New Roman" w:hAnsi="Times New Roman" w:cs="Times New Roman"/>
        </w:rPr>
        <w:t xml:space="preserve"> Highlighted are the SAF (magenta lines) and  AP</w:t>
      </w:r>
      <w:r w:rsidR="00CB391E">
        <w:rPr>
          <w:rFonts w:ascii="Times New Roman" w:hAnsi="Times New Roman" w:cs="Times New Roman"/>
        </w:rPr>
        <w:t>F (dark green) frontal domains, and the annual mean geostrophic velocity signal</w:t>
      </w:r>
      <w:r w:rsidR="009E23A0">
        <w:rPr>
          <w:rFonts w:ascii="Times New Roman" w:hAnsi="Times New Roman" w:cs="Times New Roman"/>
        </w:rPr>
        <w:t xml:space="preserve"> (arrows)</w:t>
      </w:r>
      <w:r w:rsidR="00CB391E">
        <w:rPr>
          <w:rFonts w:ascii="Times New Roman" w:hAnsi="Times New Roman" w:cs="Times New Roman"/>
        </w:rPr>
        <w:t>.</w:t>
      </w:r>
      <w:r w:rsidR="00576B84">
        <w:rPr>
          <w:rFonts w:ascii="Times New Roman" w:hAnsi="Times New Roman" w:cs="Times New Roman"/>
        </w:rPr>
        <w:t xml:space="preserve"> (c) </w:t>
      </w:r>
      <w:r w:rsidR="005E1A89">
        <w:rPr>
          <w:rFonts w:ascii="Times New Roman" w:hAnsi="Times New Roman" w:cs="Times New Roman"/>
        </w:rPr>
        <w:t>Sea surface temperature residuals (annual cycle removed) for time scales longer than the annual.</w:t>
      </w:r>
    </w:p>
    <w:p w:rsidR="002F3A57" w:rsidRDefault="002F3A57" w:rsidP="005F0547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1D6DBA" w:rsidRDefault="001D6DBA" w:rsidP="005F0547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D9040F" w:rsidRPr="001723B7" w:rsidRDefault="005D539A" w:rsidP="005F0547">
      <w:pPr>
        <w:spacing w:line="360" w:lineRule="auto"/>
        <w:rPr>
          <w:b/>
        </w:rPr>
      </w:pPr>
      <w:r w:rsidRPr="001723B7">
        <w:rPr>
          <w:b/>
        </w:rPr>
        <w:lastRenderedPageBreak/>
        <w:t>Highlight</w:t>
      </w:r>
    </w:p>
    <w:p w:rsidR="009E7AEA" w:rsidRDefault="00F9763E" w:rsidP="00FF1F8E">
      <w:pPr>
        <w:spacing w:line="360" w:lineRule="auto"/>
        <w:jc w:val="both"/>
      </w:pPr>
      <w:r>
        <w:t xml:space="preserve">The Ship Of Oportunities Program currently maintains </w:t>
      </w:r>
      <w:r w:rsidR="000F1091">
        <w:t>4</w:t>
      </w:r>
      <w:r>
        <w:t xml:space="preserve"> thermosalinographs (TSGs) i</w:t>
      </w:r>
      <w:r w:rsidR="00646A2B">
        <w:t xml:space="preserve">nstalled </w:t>
      </w:r>
      <w:r w:rsidR="00627262">
        <w:t xml:space="preserve">on </w:t>
      </w:r>
      <w:r w:rsidR="001328D0">
        <w:t>merchant vessels</w:t>
      </w:r>
      <w:r w:rsidR="0021502B">
        <w:t xml:space="preserve">. </w:t>
      </w:r>
      <w:r w:rsidR="00D62866">
        <w:t>During the S</w:t>
      </w:r>
      <w:r w:rsidR="007C3FA6">
        <w:t xml:space="preserve">OOP </w:t>
      </w:r>
      <w:r w:rsidR="00D62866">
        <w:t xml:space="preserve">operational meeting of 2012, the following question has been posted: </w:t>
      </w:r>
      <w:r w:rsidR="00A65145">
        <w:t xml:space="preserve">How much bias is introduced in the TSG data due to calibration? The concept is </w:t>
      </w:r>
      <w:r w:rsidR="00D069BB">
        <w:t>that</w:t>
      </w:r>
      <w:r w:rsidR="00A65145">
        <w:t xml:space="preserve"> change</w:t>
      </w:r>
      <w:r w:rsidR="00AB01E9">
        <w:t>s</w:t>
      </w:r>
      <w:r w:rsidR="00A65145">
        <w:t xml:space="preserve"> in the calibration coefficients </w:t>
      </w:r>
      <w:r w:rsidR="00ED2022">
        <w:t>may</w:t>
      </w:r>
      <w:r w:rsidR="00533FC4">
        <w:t xml:space="preserve"> introduce</w:t>
      </w:r>
      <w:r w:rsidR="00AB01E9">
        <w:t xml:space="preserve"> bias</w:t>
      </w:r>
      <w:r w:rsidR="00615B5C">
        <w:t>es</w:t>
      </w:r>
      <w:r w:rsidR="00AB01E9">
        <w:t xml:space="preserve"> between measurements made before and after the calibration.</w:t>
      </w:r>
      <w:r w:rsidR="00995BF2">
        <w:t xml:space="preserve"> </w:t>
      </w:r>
      <w:r w:rsidR="00EA4AE9">
        <w:t xml:space="preserve">Quantifying such quantity is of great relevance </w:t>
      </w:r>
      <w:r w:rsidR="00E7302B">
        <w:t xml:space="preserve">for </w:t>
      </w:r>
      <w:r w:rsidR="00DE4883">
        <w:t>the decision making process involved in the SOOP management.</w:t>
      </w:r>
      <w:r w:rsidR="00E7302B">
        <w:t xml:space="preserve"> </w:t>
      </w:r>
      <w:r w:rsidR="00FC3D56">
        <w:t>An</w:t>
      </w:r>
      <w:r w:rsidR="00E7302B">
        <w:t xml:space="preserve"> investigation conducted by Ricardo Domingues </w:t>
      </w:r>
      <w:r w:rsidR="001D2F83">
        <w:t xml:space="preserve">(CIMAS/UM) </w:t>
      </w:r>
      <w:r w:rsidR="00E7302B">
        <w:t>and Dr. Francis Br</w:t>
      </w:r>
      <w:r w:rsidR="008607DE">
        <w:t xml:space="preserve">ingas </w:t>
      </w:r>
      <w:r w:rsidR="001D2F83">
        <w:t xml:space="preserve">(AOML/NOAA) </w:t>
      </w:r>
      <w:r w:rsidR="008607DE">
        <w:t xml:space="preserve">has addressed this question using data collected by the SBE45 Micro TSG </w:t>
      </w:r>
      <w:r w:rsidR="009B7F7B">
        <w:t>for the period of 02/10/2011-04/21/2011</w:t>
      </w:r>
      <w:r w:rsidR="00696D35">
        <w:t xml:space="preserve"> aboard the M/V Reykjafoss</w:t>
      </w:r>
      <w:r w:rsidR="00E8053D">
        <w:t xml:space="preserve">. The approach consisted of (1) determining the synthetic </w:t>
      </w:r>
      <w:r w:rsidR="0023680D">
        <w:t>instrument output</w:t>
      </w:r>
      <w:r w:rsidR="00E8053D">
        <w:t xml:space="preserve"> using a convergence numerical method on the geophysical functions of the instrument, (2)</w:t>
      </w:r>
      <w:r w:rsidR="00C179AE">
        <w:t xml:space="preserve"> </w:t>
      </w:r>
      <w:r w:rsidR="0023680D">
        <w:t>applying</w:t>
      </w:r>
      <w:r w:rsidR="00C179AE">
        <w:t xml:space="preserve"> two </w:t>
      </w:r>
      <w:r w:rsidR="00576CBD">
        <w:t xml:space="preserve">consecutive </w:t>
      </w:r>
      <w:r w:rsidR="00C179AE">
        <w:t>set of calibration coefficents</w:t>
      </w:r>
      <w:r w:rsidR="0023680D">
        <w:t xml:space="preserve"> on the synthetic instrument output</w:t>
      </w:r>
      <w:r w:rsidR="00576CBD">
        <w:t xml:space="preserve">, and (3) evaluating the residuals </w:t>
      </w:r>
      <w:r w:rsidR="00822805">
        <w:t xml:space="preserve">introduced by </w:t>
      </w:r>
      <w:r w:rsidR="00576CBD">
        <w:t xml:space="preserve">the </w:t>
      </w:r>
      <w:r w:rsidR="00986F8B">
        <w:t xml:space="preserve">use of </w:t>
      </w:r>
      <w:r w:rsidR="00576CBD">
        <w:t>two sets of calibration coefficients.</w:t>
      </w:r>
      <w:r w:rsidR="002B0887">
        <w:t xml:space="preserve"> </w:t>
      </w:r>
      <w:r w:rsidR="00276886">
        <w:t>The residuals obtained were of the order of 10</w:t>
      </w:r>
      <w:r w:rsidR="00276886" w:rsidRPr="00276886">
        <w:rPr>
          <w:vertAlign w:val="superscript"/>
        </w:rPr>
        <w:t>-3</w:t>
      </w:r>
      <w:r w:rsidR="00276886">
        <w:rPr>
          <w:vertAlign w:val="superscript"/>
        </w:rPr>
        <w:t xml:space="preserve"> </w:t>
      </w:r>
      <w:r w:rsidR="00276886" w:rsidRPr="00276886">
        <w:rPr>
          <w:vertAlign w:val="superscript"/>
        </w:rPr>
        <w:t>o</w:t>
      </w:r>
      <w:r w:rsidR="00276886">
        <w:t>C</w:t>
      </w:r>
      <w:r w:rsidR="00C752DD">
        <w:t xml:space="preserve"> </w:t>
      </w:r>
      <w:r w:rsidR="00B540F3">
        <w:t>(10</w:t>
      </w:r>
      <w:r w:rsidR="00B540F3" w:rsidRPr="00276886">
        <w:rPr>
          <w:vertAlign w:val="superscript"/>
        </w:rPr>
        <w:t>-3</w:t>
      </w:r>
      <w:r w:rsidR="00B540F3">
        <w:rPr>
          <w:vertAlign w:val="superscript"/>
        </w:rPr>
        <w:t xml:space="preserve"> </w:t>
      </w:r>
      <w:r w:rsidR="00E71E62">
        <w:t>PSU</w:t>
      </w:r>
      <w:r w:rsidR="00B540F3">
        <w:t xml:space="preserve">) </w:t>
      </w:r>
      <w:r w:rsidR="00C752DD">
        <w:t xml:space="preserve">for temperature </w:t>
      </w:r>
      <w:r w:rsidR="00D62DFA">
        <w:t xml:space="preserve">(salinity), which is a value smaller than the nominal </w:t>
      </w:r>
      <w:r w:rsidR="00B62447">
        <w:t>accuracy</w:t>
      </w:r>
      <w:r w:rsidR="00D62DFA">
        <w:t xml:space="preserve"> of the instrument. </w:t>
      </w:r>
      <w:r w:rsidR="003E68CF">
        <w:t xml:space="preserve">Similar results have </w:t>
      </w:r>
      <w:r w:rsidR="00CF509B">
        <w:t xml:space="preserve">also </w:t>
      </w:r>
      <w:r w:rsidR="003E68CF">
        <w:t xml:space="preserve">been obtained </w:t>
      </w:r>
      <w:r w:rsidR="004533DE">
        <w:t>f</w:t>
      </w:r>
      <w:r w:rsidR="003E68CF">
        <w:t xml:space="preserve">or data collected by the instrument SBE21 Seacat aboard the M/V Oleander. </w:t>
      </w:r>
      <w:r w:rsidR="00487335">
        <w:t xml:space="preserve">As a conclusion, </w:t>
      </w:r>
      <w:r w:rsidR="00967475">
        <w:t>the current calibration practices adopted by the SOOP management are suited for maintaining the quality of the data collected.</w:t>
      </w:r>
    </w:p>
    <w:sectPr w:rsidR="009E7AEA" w:rsidSect="00A12097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/>
  <w:rsids>
    <w:rsidRoot w:val="009E7AEA"/>
    <w:rsid w:val="00001D1E"/>
    <w:rsid w:val="00013AF1"/>
    <w:rsid w:val="00023F21"/>
    <w:rsid w:val="00024404"/>
    <w:rsid w:val="000364BF"/>
    <w:rsid w:val="00037187"/>
    <w:rsid w:val="000B7B8F"/>
    <w:rsid w:val="000F1091"/>
    <w:rsid w:val="000F4169"/>
    <w:rsid w:val="001328D0"/>
    <w:rsid w:val="00162346"/>
    <w:rsid w:val="001650AD"/>
    <w:rsid w:val="00167D92"/>
    <w:rsid w:val="001723B7"/>
    <w:rsid w:val="001A2DDD"/>
    <w:rsid w:val="001C2DC5"/>
    <w:rsid w:val="001D181B"/>
    <w:rsid w:val="001D1C1A"/>
    <w:rsid w:val="001D2F83"/>
    <w:rsid w:val="001D6DBA"/>
    <w:rsid w:val="0020378F"/>
    <w:rsid w:val="002058C0"/>
    <w:rsid w:val="002110D2"/>
    <w:rsid w:val="0021502B"/>
    <w:rsid w:val="00225CD0"/>
    <w:rsid w:val="0023680D"/>
    <w:rsid w:val="002514CB"/>
    <w:rsid w:val="00276886"/>
    <w:rsid w:val="00291FE0"/>
    <w:rsid w:val="002A37CC"/>
    <w:rsid w:val="002B0887"/>
    <w:rsid w:val="002F3A57"/>
    <w:rsid w:val="00311956"/>
    <w:rsid w:val="00342CA2"/>
    <w:rsid w:val="003460A5"/>
    <w:rsid w:val="00392EBE"/>
    <w:rsid w:val="003C1417"/>
    <w:rsid w:val="003E68CF"/>
    <w:rsid w:val="003F75A9"/>
    <w:rsid w:val="00420F08"/>
    <w:rsid w:val="00424483"/>
    <w:rsid w:val="004533DE"/>
    <w:rsid w:val="004777FC"/>
    <w:rsid w:val="00487335"/>
    <w:rsid w:val="004A78A4"/>
    <w:rsid w:val="004F5804"/>
    <w:rsid w:val="00533FC4"/>
    <w:rsid w:val="0054216B"/>
    <w:rsid w:val="00570E78"/>
    <w:rsid w:val="0057662A"/>
    <w:rsid w:val="00576B84"/>
    <w:rsid w:val="00576CBD"/>
    <w:rsid w:val="005D539A"/>
    <w:rsid w:val="005E1A89"/>
    <w:rsid w:val="005F0547"/>
    <w:rsid w:val="0060643F"/>
    <w:rsid w:val="00610326"/>
    <w:rsid w:val="00615B5C"/>
    <w:rsid w:val="00627262"/>
    <w:rsid w:val="00646A2B"/>
    <w:rsid w:val="006471A9"/>
    <w:rsid w:val="00657562"/>
    <w:rsid w:val="00665107"/>
    <w:rsid w:val="0068186B"/>
    <w:rsid w:val="00693BCC"/>
    <w:rsid w:val="00696D35"/>
    <w:rsid w:val="00780326"/>
    <w:rsid w:val="00797D2F"/>
    <w:rsid w:val="007C3FA6"/>
    <w:rsid w:val="007D2F6D"/>
    <w:rsid w:val="007F4BA4"/>
    <w:rsid w:val="00822805"/>
    <w:rsid w:val="008607DE"/>
    <w:rsid w:val="00864CC9"/>
    <w:rsid w:val="008A0EC8"/>
    <w:rsid w:val="008A7FAB"/>
    <w:rsid w:val="008C3388"/>
    <w:rsid w:val="00936AC9"/>
    <w:rsid w:val="00967475"/>
    <w:rsid w:val="00986F8B"/>
    <w:rsid w:val="00995BF2"/>
    <w:rsid w:val="009B7F7B"/>
    <w:rsid w:val="009E23A0"/>
    <w:rsid w:val="009E3A9C"/>
    <w:rsid w:val="009E7AEA"/>
    <w:rsid w:val="009F0A88"/>
    <w:rsid w:val="00A0019E"/>
    <w:rsid w:val="00A12097"/>
    <w:rsid w:val="00A15C6A"/>
    <w:rsid w:val="00A300BD"/>
    <w:rsid w:val="00A65145"/>
    <w:rsid w:val="00AB01E9"/>
    <w:rsid w:val="00AF10B1"/>
    <w:rsid w:val="00B31F88"/>
    <w:rsid w:val="00B540F3"/>
    <w:rsid w:val="00B62447"/>
    <w:rsid w:val="00BA2728"/>
    <w:rsid w:val="00BB6DA1"/>
    <w:rsid w:val="00BB7DFF"/>
    <w:rsid w:val="00C179AE"/>
    <w:rsid w:val="00C24E0B"/>
    <w:rsid w:val="00C752DD"/>
    <w:rsid w:val="00CB05EC"/>
    <w:rsid w:val="00CB391E"/>
    <w:rsid w:val="00CF509B"/>
    <w:rsid w:val="00D00956"/>
    <w:rsid w:val="00D069BB"/>
    <w:rsid w:val="00D16B09"/>
    <w:rsid w:val="00D62866"/>
    <w:rsid w:val="00D62DFA"/>
    <w:rsid w:val="00D9040F"/>
    <w:rsid w:val="00DE4883"/>
    <w:rsid w:val="00DF3B7D"/>
    <w:rsid w:val="00E03B5A"/>
    <w:rsid w:val="00E71E62"/>
    <w:rsid w:val="00E7302B"/>
    <w:rsid w:val="00E74281"/>
    <w:rsid w:val="00E76F84"/>
    <w:rsid w:val="00E8053D"/>
    <w:rsid w:val="00EA4AE9"/>
    <w:rsid w:val="00EC1D90"/>
    <w:rsid w:val="00ED2022"/>
    <w:rsid w:val="00ED3EE4"/>
    <w:rsid w:val="00ED74BC"/>
    <w:rsid w:val="00F7090F"/>
    <w:rsid w:val="00F95673"/>
    <w:rsid w:val="00F9763E"/>
    <w:rsid w:val="00FA3AA2"/>
    <w:rsid w:val="00FC3D56"/>
    <w:rsid w:val="00FF1F8E"/>
    <w:rsid w:val="00FF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12097"/>
  </w:style>
  <w:style w:type="paragraph" w:styleId="BalloonText">
    <w:name w:val="Balloon Text"/>
    <w:basedOn w:val="Normal"/>
    <w:link w:val="BalloonTextChar"/>
    <w:uiPriority w:val="99"/>
    <w:semiHidden/>
    <w:unhideWhenUsed/>
    <w:rsid w:val="006651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107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Domingues</dc:creator>
  <cp:keywords/>
  <dc:description/>
  <cp:lastModifiedBy>Ricardo Domingues</cp:lastModifiedBy>
  <cp:revision>150</cp:revision>
  <dcterms:created xsi:type="dcterms:W3CDTF">2013-05-13T19:08:00Z</dcterms:created>
  <dcterms:modified xsi:type="dcterms:W3CDTF">2013-05-14T16:50:00Z</dcterms:modified>
</cp:coreProperties>
</file>