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10" w:rsidRPr="00BB0915" w:rsidRDefault="00243E10" w:rsidP="00764D03">
      <w:pPr>
        <w:spacing w:after="0" w:line="312" w:lineRule="auto"/>
        <w:jc w:val="both"/>
        <w:rPr>
          <w:rFonts w:ascii="Arial" w:hAnsi="Arial" w:cs="Arial"/>
          <w:b/>
          <w:sz w:val="20"/>
          <w:szCs w:val="20"/>
        </w:rPr>
      </w:pPr>
      <w:r w:rsidRPr="00BB0915">
        <w:rPr>
          <w:rFonts w:ascii="Arial" w:hAnsi="Arial" w:cs="Arial"/>
          <w:b/>
          <w:sz w:val="20"/>
          <w:szCs w:val="20"/>
        </w:rPr>
        <w:t>Tropical Cyclone Heat Potential V2.1</w:t>
      </w:r>
    </w:p>
    <w:p w:rsidR="009A16DC" w:rsidRDefault="009A16DC" w:rsidP="00764D03">
      <w:pPr>
        <w:spacing w:after="0" w:line="312" w:lineRule="auto"/>
        <w:jc w:val="both"/>
        <w:rPr>
          <w:rFonts w:ascii="Arial" w:hAnsi="Arial" w:cs="Arial"/>
          <w:sz w:val="20"/>
          <w:szCs w:val="20"/>
        </w:rPr>
      </w:pPr>
    </w:p>
    <w:p w:rsidR="009A16DC" w:rsidRPr="00BB0915" w:rsidRDefault="009A16DC" w:rsidP="00764D03">
      <w:pPr>
        <w:spacing w:after="0" w:line="312" w:lineRule="auto"/>
        <w:jc w:val="both"/>
        <w:rPr>
          <w:rFonts w:ascii="Arial" w:hAnsi="Arial" w:cs="Arial"/>
          <w:i/>
          <w:sz w:val="20"/>
          <w:szCs w:val="20"/>
        </w:rPr>
      </w:pPr>
      <w:r>
        <w:rPr>
          <w:rFonts w:ascii="Arial" w:hAnsi="Arial" w:cs="Arial"/>
          <w:sz w:val="20"/>
          <w:szCs w:val="20"/>
        </w:rPr>
        <w:t>Project homepage:</w:t>
      </w:r>
      <w:r>
        <w:rPr>
          <w:rFonts w:ascii="Arial" w:hAnsi="Arial" w:cs="Arial"/>
          <w:sz w:val="20"/>
          <w:szCs w:val="20"/>
        </w:rPr>
        <w:tab/>
      </w:r>
      <w:r>
        <w:rPr>
          <w:rFonts w:ascii="Arial" w:hAnsi="Arial" w:cs="Arial"/>
          <w:sz w:val="20"/>
          <w:szCs w:val="20"/>
        </w:rPr>
        <w:tab/>
      </w:r>
      <w:r>
        <w:rPr>
          <w:rFonts w:ascii="Arial" w:hAnsi="Arial" w:cs="Arial"/>
          <w:sz w:val="20"/>
          <w:szCs w:val="20"/>
        </w:rPr>
        <w:tab/>
      </w:r>
      <w:r w:rsidRPr="00BB0915">
        <w:rPr>
          <w:rFonts w:ascii="Arial" w:hAnsi="Arial" w:cs="Arial"/>
          <w:i/>
          <w:sz w:val="20"/>
          <w:szCs w:val="20"/>
        </w:rPr>
        <w:t>www.aoml.noaa.gov/phod/cyclone</w:t>
      </w:r>
    </w:p>
    <w:p w:rsidR="009A16DC" w:rsidRPr="00BB0915" w:rsidRDefault="009A16DC" w:rsidP="00764D03">
      <w:pPr>
        <w:spacing w:after="0" w:line="312" w:lineRule="auto"/>
        <w:jc w:val="both"/>
        <w:rPr>
          <w:rFonts w:ascii="Arial" w:hAnsi="Arial" w:cs="Arial"/>
          <w:i/>
          <w:sz w:val="20"/>
          <w:szCs w:val="20"/>
        </w:rPr>
      </w:pPr>
      <w:r w:rsidRPr="00BB0915">
        <w:rPr>
          <w:rFonts w:ascii="Arial" w:hAnsi="Arial" w:cs="Arial"/>
          <w:sz w:val="20"/>
          <w:szCs w:val="20"/>
        </w:rPr>
        <w:t>Daily maps available online at</w:t>
      </w:r>
      <w:r>
        <w:rPr>
          <w:rFonts w:ascii="Arial" w:hAnsi="Arial" w:cs="Arial"/>
          <w:sz w:val="20"/>
          <w:szCs w:val="20"/>
        </w:rPr>
        <w:tab/>
      </w:r>
      <w:r>
        <w:rPr>
          <w:rFonts w:ascii="Arial" w:hAnsi="Arial" w:cs="Arial"/>
          <w:sz w:val="20"/>
          <w:szCs w:val="20"/>
        </w:rPr>
        <w:tab/>
      </w:r>
      <w:r w:rsidRPr="00BB0915">
        <w:rPr>
          <w:rFonts w:ascii="Arial" w:hAnsi="Arial" w:cs="Arial"/>
          <w:i/>
          <w:sz w:val="20"/>
          <w:szCs w:val="20"/>
        </w:rPr>
        <w:t>www.aoml.noaa.gov/phod/cyclone/data/gl.html</w:t>
      </w:r>
    </w:p>
    <w:p w:rsidR="00243E10" w:rsidRDefault="00243E10" w:rsidP="00764D03">
      <w:pPr>
        <w:spacing w:after="0" w:line="312" w:lineRule="auto"/>
        <w:jc w:val="both"/>
        <w:rPr>
          <w:rFonts w:ascii="Arial" w:hAnsi="Arial" w:cs="Arial"/>
          <w:sz w:val="20"/>
          <w:szCs w:val="20"/>
        </w:rPr>
      </w:pPr>
    </w:p>
    <w:p w:rsidR="00C921D0" w:rsidRDefault="00C921D0" w:rsidP="00764D03">
      <w:pPr>
        <w:spacing w:after="0" w:line="312" w:lineRule="auto"/>
        <w:jc w:val="both"/>
        <w:rPr>
          <w:rFonts w:ascii="Arial" w:hAnsi="Arial" w:cs="Arial"/>
          <w:sz w:val="20"/>
          <w:szCs w:val="20"/>
        </w:rPr>
      </w:pPr>
    </w:p>
    <w:p w:rsidR="00584BD4" w:rsidRDefault="00584BD4" w:rsidP="00764D03">
      <w:pPr>
        <w:spacing w:after="0" w:line="312" w:lineRule="auto"/>
        <w:jc w:val="both"/>
        <w:rPr>
          <w:rFonts w:ascii="Arial" w:hAnsi="Arial" w:cs="Arial"/>
          <w:sz w:val="20"/>
          <w:szCs w:val="20"/>
        </w:rPr>
      </w:pPr>
    </w:p>
    <w:p w:rsidR="009A16DC" w:rsidRPr="00BB0915" w:rsidRDefault="009A16DC" w:rsidP="00764D03">
      <w:pPr>
        <w:spacing w:after="0" w:line="312" w:lineRule="auto"/>
        <w:jc w:val="both"/>
        <w:rPr>
          <w:rFonts w:ascii="Arial" w:hAnsi="Arial" w:cs="Arial"/>
          <w:b/>
          <w:sz w:val="20"/>
          <w:szCs w:val="20"/>
        </w:rPr>
      </w:pPr>
      <w:r w:rsidRPr="00BB0915">
        <w:rPr>
          <w:rFonts w:ascii="Arial" w:hAnsi="Arial" w:cs="Arial"/>
          <w:b/>
          <w:sz w:val="20"/>
          <w:szCs w:val="20"/>
        </w:rPr>
        <w:t>TCHP DATA</w:t>
      </w:r>
    </w:p>
    <w:p w:rsidR="009A16DC" w:rsidRPr="00BB0915" w:rsidRDefault="009A16DC" w:rsidP="00764D03">
      <w:pPr>
        <w:spacing w:after="0" w:line="312" w:lineRule="auto"/>
        <w:jc w:val="both"/>
        <w:rPr>
          <w:rFonts w:ascii="Arial" w:hAnsi="Arial" w:cs="Arial"/>
          <w:sz w:val="20"/>
          <w:szCs w:val="20"/>
        </w:rPr>
      </w:pPr>
    </w:p>
    <w:p w:rsidR="009A16DC" w:rsidRPr="00BB0915" w:rsidRDefault="009A16DC" w:rsidP="00764D03">
      <w:pPr>
        <w:spacing w:after="0" w:line="312" w:lineRule="auto"/>
        <w:jc w:val="both"/>
        <w:rPr>
          <w:rFonts w:ascii="Arial" w:hAnsi="Arial" w:cs="Arial"/>
          <w:sz w:val="20"/>
          <w:szCs w:val="20"/>
        </w:rPr>
      </w:pPr>
      <w:r>
        <w:rPr>
          <w:rFonts w:ascii="Arial" w:hAnsi="Arial" w:cs="Arial"/>
          <w:sz w:val="20"/>
          <w:szCs w:val="20"/>
        </w:rPr>
        <w:t xml:space="preserve">Data is presented in </w:t>
      </w:r>
      <w:r w:rsidRPr="00BB0915">
        <w:rPr>
          <w:rFonts w:ascii="Arial" w:hAnsi="Arial" w:cs="Arial"/>
          <w:sz w:val="20"/>
          <w:szCs w:val="20"/>
        </w:rPr>
        <w:t xml:space="preserve">ASCII </w:t>
      </w:r>
      <w:r>
        <w:rPr>
          <w:rFonts w:ascii="Arial" w:hAnsi="Arial" w:cs="Arial"/>
          <w:sz w:val="20"/>
          <w:szCs w:val="20"/>
        </w:rPr>
        <w:t xml:space="preserve">files. </w:t>
      </w:r>
      <w:r w:rsidRPr="00A2712D">
        <w:rPr>
          <w:rFonts w:ascii="Arial" w:hAnsi="Arial" w:cs="Arial"/>
          <w:sz w:val="20"/>
          <w:szCs w:val="20"/>
        </w:rPr>
        <w:t>The date corresponding to each field is indicated in the filenames.</w:t>
      </w:r>
      <w:r>
        <w:rPr>
          <w:rFonts w:ascii="Arial" w:hAnsi="Arial" w:cs="Arial"/>
          <w:sz w:val="20"/>
          <w:szCs w:val="20"/>
        </w:rPr>
        <w:t xml:space="preserve"> The </w:t>
      </w:r>
      <w:r w:rsidRPr="00BB0915">
        <w:rPr>
          <w:rFonts w:ascii="Arial" w:hAnsi="Arial" w:cs="Arial"/>
          <w:sz w:val="20"/>
          <w:szCs w:val="20"/>
        </w:rPr>
        <w:t xml:space="preserve">data </w:t>
      </w:r>
      <w:r>
        <w:rPr>
          <w:rFonts w:ascii="Arial" w:hAnsi="Arial" w:cs="Arial"/>
          <w:sz w:val="20"/>
          <w:szCs w:val="20"/>
        </w:rPr>
        <w:t xml:space="preserve">is </w:t>
      </w:r>
      <w:r w:rsidRPr="00BB0915">
        <w:rPr>
          <w:rFonts w:ascii="Arial" w:hAnsi="Arial" w:cs="Arial"/>
          <w:sz w:val="20"/>
          <w:szCs w:val="20"/>
        </w:rPr>
        <w:t>formatted in columns:</w:t>
      </w:r>
    </w:p>
    <w:p w:rsidR="009A16DC" w:rsidRPr="00BB0915" w:rsidRDefault="009A16DC" w:rsidP="00764D03">
      <w:pPr>
        <w:spacing w:after="0" w:line="312" w:lineRule="auto"/>
        <w:jc w:val="both"/>
        <w:rPr>
          <w:rFonts w:ascii="Arial" w:hAnsi="Arial" w:cs="Arial"/>
          <w:sz w:val="20"/>
          <w:szCs w:val="20"/>
        </w:rPr>
      </w:pPr>
    </w:p>
    <w:p w:rsidR="009A16DC" w:rsidRPr="00D86884" w:rsidRDefault="009A16DC" w:rsidP="00531DA8">
      <w:pPr>
        <w:pBdr>
          <w:top w:val="single" w:sz="12" w:space="1" w:color="auto"/>
          <w:left w:val="single" w:sz="12" w:space="4" w:color="auto"/>
          <w:bottom w:val="single" w:sz="12" w:space="1" w:color="auto"/>
          <w:right w:val="single" w:sz="12" w:space="4" w:color="auto"/>
          <w:between w:val="single" w:sz="4" w:space="1" w:color="auto"/>
          <w:bar w:val="single" w:sz="4" w:color="auto"/>
        </w:pBdr>
        <w:spacing w:after="0" w:line="312" w:lineRule="auto"/>
        <w:ind w:left="1440" w:right="1944"/>
        <w:jc w:val="both"/>
        <w:rPr>
          <w:rFonts w:ascii="Arial" w:hAnsi="Arial" w:cs="Arial"/>
          <w:b/>
          <w:sz w:val="20"/>
          <w:szCs w:val="20"/>
        </w:rPr>
      </w:pPr>
      <w:r w:rsidRPr="00D86884">
        <w:rPr>
          <w:rFonts w:ascii="Arial" w:hAnsi="Arial" w:cs="Arial"/>
          <w:b/>
          <w:sz w:val="20"/>
          <w:szCs w:val="20"/>
        </w:rPr>
        <w:t>Col#</w:t>
      </w:r>
      <w:r w:rsidRPr="00D86884">
        <w:rPr>
          <w:rFonts w:ascii="Arial" w:hAnsi="Arial" w:cs="Arial"/>
          <w:b/>
          <w:sz w:val="20"/>
          <w:szCs w:val="20"/>
        </w:rPr>
        <w:tab/>
      </w:r>
      <w:r w:rsidRPr="00D86884">
        <w:rPr>
          <w:rFonts w:ascii="Arial" w:hAnsi="Arial" w:cs="Arial"/>
          <w:b/>
          <w:sz w:val="20"/>
          <w:szCs w:val="20"/>
        </w:rPr>
        <w:tab/>
        <w:t>Field</w:t>
      </w:r>
      <w:r w:rsidRPr="00D86884">
        <w:rPr>
          <w:rFonts w:ascii="Arial" w:hAnsi="Arial" w:cs="Arial"/>
          <w:b/>
          <w:sz w:val="20"/>
          <w:szCs w:val="20"/>
        </w:rPr>
        <w:tab/>
      </w:r>
      <w:r w:rsidRPr="00D86884">
        <w:rPr>
          <w:rFonts w:ascii="Arial" w:hAnsi="Arial" w:cs="Arial"/>
          <w:b/>
          <w:sz w:val="20"/>
          <w:szCs w:val="20"/>
        </w:rPr>
        <w:tab/>
      </w:r>
      <w:r w:rsidRPr="00D86884">
        <w:rPr>
          <w:rFonts w:ascii="Arial" w:hAnsi="Arial" w:cs="Arial"/>
          <w:b/>
          <w:sz w:val="20"/>
          <w:szCs w:val="20"/>
        </w:rPr>
        <w:tab/>
        <w:t>Units</w:t>
      </w:r>
      <w:r w:rsidRPr="00D86884">
        <w:rPr>
          <w:rFonts w:ascii="Arial" w:hAnsi="Arial" w:cs="Arial"/>
          <w:b/>
          <w:sz w:val="20"/>
          <w:szCs w:val="20"/>
        </w:rPr>
        <w:tab/>
      </w:r>
      <w:r w:rsidRPr="00D86884">
        <w:rPr>
          <w:rFonts w:ascii="Arial" w:hAnsi="Arial" w:cs="Arial"/>
          <w:b/>
          <w:sz w:val="20"/>
          <w:szCs w:val="20"/>
        </w:rPr>
        <w:tab/>
      </w:r>
      <w:r w:rsidRPr="00D86884">
        <w:rPr>
          <w:rFonts w:ascii="Arial" w:hAnsi="Arial" w:cs="Arial"/>
          <w:b/>
          <w:sz w:val="20"/>
          <w:szCs w:val="20"/>
        </w:rPr>
        <w:tab/>
        <w:t>Range</w:t>
      </w:r>
    </w:p>
    <w:p w:rsidR="009A16DC" w:rsidRPr="00A2712D" w:rsidRDefault="00D86884" w:rsidP="003312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12" w:lineRule="auto"/>
        <w:ind w:left="1440" w:right="1944"/>
        <w:jc w:val="both"/>
        <w:rPr>
          <w:rFonts w:ascii="Arial" w:hAnsi="Arial" w:cs="Arial"/>
          <w:sz w:val="20"/>
          <w:szCs w:val="20"/>
        </w:rPr>
      </w:pPr>
      <w:r>
        <w:rPr>
          <w:rFonts w:ascii="Arial" w:hAnsi="Arial" w:cs="Arial"/>
          <w:sz w:val="20"/>
          <w:szCs w:val="20"/>
        </w:rPr>
        <w:t xml:space="preserve">  </w:t>
      </w:r>
      <w:r w:rsidR="009A16DC" w:rsidRPr="00A2712D">
        <w:rPr>
          <w:rFonts w:ascii="Arial" w:hAnsi="Arial" w:cs="Arial"/>
          <w:sz w:val="20"/>
          <w:szCs w:val="20"/>
        </w:rPr>
        <w:t>1</w:t>
      </w:r>
      <w:r w:rsidR="009A16DC" w:rsidRPr="00A2712D">
        <w:rPr>
          <w:rFonts w:ascii="Arial" w:hAnsi="Arial" w:cs="Arial"/>
          <w:sz w:val="20"/>
          <w:szCs w:val="20"/>
        </w:rPr>
        <w:tab/>
      </w:r>
      <w:r w:rsidR="009A16DC" w:rsidRPr="00A2712D">
        <w:rPr>
          <w:rFonts w:ascii="Arial" w:hAnsi="Arial" w:cs="Arial"/>
          <w:sz w:val="20"/>
          <w:szCs w:val="20"/>
        </w:rPr>
        <w:tab/>
        <w:t>Longitude</w:t>
      </w:r>
      <w:r w:rsidR="009A16DC" w:rsidRPr="00A2712D">
        <w:rPr>
          <w:rFonts w:ascii="Arial" w:hAnsi="Arial" w:cs="Arial"/>
          <w:sz w:val="20"/>
          <w:szCs w:val="20"/>
        </w:rPr>
        <w:tab/>
      </w:r>
      <w:r w:rsidR="009A16DC" w:rsidRPr="00A2712D">
        <w:rPr>
          <w:rFonts w:ascii="Arial" w:hAnsi="Arial" w:cs="Arial"/>
          <w:sz w:val="20"/>
          <w:szCs w:val="20"/>
        </w:rPr>
        <w:tab/>
        <w:t>Degree East</w:t>
      </w:r>
      <w:r w:rsidR="009A16DC" w:rsidRPr="00A2712D">
        <w:rPr>
          <w:rFonts w:ascii="Arial" w:hAnsi="Arial" w:cs="Arial"/>
          <w:sz w:val="20"/>
          <w:szCs w:val="20"/>
        </w:rPr>
        <w:tab/>
      </w:r>
      <w:r w:rsidR="009A16DC" w:rsidRPr="00A2712D">
        <w:rPr>
          <w:rFonts w:ascii="Arial" w:hAnsi="Arial" w:cs="Arial"/>
          <w:sz w:val="20"/>
          <w:szCs w:val="20"/>
        </w:rPr>
        <w:tab/>
        <w:t>-180/180</w:t>
      </w:r>
    </w:p>
    <w:p w:rsidR="009A16DC" w:rsidRPr="00A2712D" w:rsidRDefault="009A16DC" w:rsidP="003312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12" w:lineRule="auto"/>
        <w:ind w:left="1440" w:right="1944"/>
        <w:jc w:val="both"/>
        <w:rPr>
          <w:rFonts w:ascii="Arial" w:hAnsi="Arial" w:cs="Arial"/>
          <w:sz w:val="20"/>
          <w:szCs w:val="20"/>
        </w:rPr>
      </w:pPr>
      <w:r w:rsidRPr="00A2712D">
        <w:rPr>
          <w:rFonts w:ascii="Arial" w:hAnsi="Arial" w:cs="Arial"/>
          <w:sz w:val="20"/>
          <w:szCs w:val="20"/>
        </w:rPr>
        <w:t xml:space="preserve"> </w:t>
      </w:r>
      <w:r w:rsidR="00D86884">
        <w:rPr>
          <w:rFonts w:ascii="Arial" w:hAnsi="Arial" w:cs="Arial"/>
          <w:sz w:val="20"/>
          <w:szCs w:val="20"/>
        </w:rPr>
        <w:t xml:space="preserve"> </w:t>
      </w:r>
      <w:r w:rsidRPr="00A2712D">
        <w:rPr>
          <w:rFonts w:ascii="Arial" w:hAnsi="Arial" w:cs="Arial"/>
          <w:sz w:val="20"/>
          <w:szCs w:val="20"/>
        </w:rPr>
        <w:t>2</w:t>
      </w:r>
      <w:r w:rsidRPr="00A2712D">
        <w:rPr>
          <w:rFonts w:ascii="Arial" w:hAnsi="Arial" w:cs="Arial"/>
          <w:sz w:val="20"/>
          <w:szCs w:val="20"/>
        </w:rPr>
        <w:tab/>
      </w:r>
      <w:r w:rsidRPr="00A2712D">
        <w:rPr>
          <w:rFonts w:ascii="Arial" w:hAnsi="Arial" w:cs="Arial"/>
          <w:sz w:val="20"/>
          <w:szCs w:val="20"/>
        </w:rPr>
        <w:tab/>
        <w:t>Latitude</w:t>
      </w:r>
      <w:r w:rsidRPr="00A2712D">
        <w:rPr>
          <w:rFonts w:ascii="Arial" w:hAnsi="Arial" w:cs="Arial"/>
          <w:sz w:val="20"/>
          <w:szCs w:val="20"/>
        </w:rPr>
        <w:tab/>
      </w:r>
      <w:r w:rsidRPr="00A2712D">
        <w:rPr>
          <w:rFonts w:ascii="Arial" w:hAnsi="Arial" w:cs="Arial"/>
          <w:sz w:val="20"/>
          <w:szCs w:val="20"/>
        </w:rPr>
        <w:tab/>
      </w:r>
      <w:r w:rsidRPr="00A2712D">
        <w:rPr>
          <w:rFonts w:ascii="Arial" w:hAnsi="Arial" w:cs="Arial"/>
          <w:sz w:val="20"/>
          <w:szCs w:val="20"/>
        </w:rPr>
        <w:tab/>
      </w:r>
      <w:r>
        <w:rPr>
          <w:rFonts w:ascii="Arial" w:hAnsi="Arial" w:cs="Arial"/>
          <w:sz w:val="20"/>
          <w:szCs w:val="20"/>
        </w:rPr>
        <w:t>D</w:t>
      </w:r>
      <w:r w:rsidRPr="00A2712D">
        <w:rPr>
          <w:rFonts w:ascii="Arial" w:hAnsi="Arial" w:cs="Arial"/>
          <w:sz w:val="20"/>
          <w:szCs w:val="20"/>
        </w:rPr>
        <w:t>egree North</w:t>
      </w:r>
      <w:r w:rsidRPr="00A2712D">
        <w:rPr>
          <w:rFonts w:ascii="Arial" w:hAnsi="Arial" w:cs="Arial"/>
          <w:sz w:val="20"/>
          <w:szCs w:val="20"/>
        </w:rPr>
        <w:tab/>
      </w:r>
      <w:r w:rsidRPr="00A2712D">
        <w:rPr>
          <w:rFonts w:ascii="Arial" w:hAnsi="Arial" w:cs="Arial"/>
          <w:sz w:val="20"/>
          <w:szCs w:val="20"/>
        </w:rPr>
        <w:tab/>
        <w:t>-40/40</w:t>
      </w:r>
    </w:p>
    <w:p w:rsidR="009A16DC" w:rsidRPr="00A2712D" w:rsidRDefault="009A16DC" w:rsidP="003312A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12" w:lineRule="auto"/>
        <w:ind w:left="1440" w:right="1944"/>
        <w:jc w:val="both"/>
        <w:rPr>
          <w:rFonts w:ascii="Arial" w:hAnsi="Arial" w:cs="Arial"/>
          <w:sz w:val="20"/>
          <w:szCs w:val="20"/>
        </w:rPr>
      </w:pPr>
      <w:r w:rsidRPr="00A2712D">
        <w:rPr>
          <w:rFonts w:ascii="Arial" w:hAnsi="Arial" w:cs="Arial"/>
          <w:sz w:val="20"/>
          <w:szCs w:val="20"/>
        </w:rPr>
        <w:t xml:space="preserve"> </w:t>
      </w:r>
      <w:r w:rsidR="00D86884">
        <w:rPr>
          <w:rFonts w:ascii="Arial" w:hAnsi="Arial" w:cs="Arial"/>
          <w:sz w:val="20"/>
          <w:szCs w:val="20"/>
        </w:rPr>
        <w:t xml:space="preserve"> </w:t>
      </w:r>
      <w:r w:rsidR="00400689">
        <w:rPr>
          <w:rFonts w:ascii="Arial" w:hAnsi="Arial" w:cs="Arial"/>
          <w:sz w:val="20"/>
          <w:szCs w:val="20"/>
        </w:rPr>
        <w:t>3</w:t>
      </w:r>
      <w:r w:rsidR="00400689">
        <w:rPr>
          <w:rFonts w:ascii="Arial" w:hAnsi="Arial" w:cs="Arial"/>
          <w:sz w:val="20"/>
          <w:szCs w:val="20"/>
        </w:rPr>
        <w:tab/>
      </w:r>
      <w:r w:rsidR="00400689">
        <w:rPr>
          <w:rFonts w:ascii="Arial" w:hAnsi="Arial" w:cs="Arial"/>
          <w:sz w:val="20"/>
          <w:szCs w:val="20"/>
        </w:rPr>
        <w:tab/>
        <w:t>TCHP</w:t>
      </w:r>
      <w:r w:rsidR="00400689">
        <w:rPr>
          <w:rFonts w:ascii="Arial" w:hAnsi="Arial" w:cs="Arial"/>
          <w:sz w:val="20"/>
          <w:szCs w:val="20"/>
        </w:rPr>
        <w:tab/>
      </w:r>
      <w:r w:rsidR="00400689">
        <w:rPr>
          <w:rFonts w:ascii="Arial" w:hAnsi="Arial" w:cs="Arial"/>
          <w:sz w:val="20"/>
          <w:szCs w:val="20"/>
        </w:rPr>
        <w:tab/>
      </w:r>
      <w:r w:rsidR="00400689">
        <w:rPr>
          <w:rFonts w:ascii="Arial" w:hAnsi="Arial" w:cs="Arial"/>
          <w:sz w:val="20"/>
          <w:szCs w:val="20"/>
        </w:rPr>
        <w:tab/>
        <w:t>kJ </w:t>
      </w:r>
      <w:r w:rsidRPr="00A2712D">
        <w:rPr>
          <w:rFonts w:ascii="Arial" w:hAnsi="Arial" w:cs="Arial"/>
          <w:sz w:val="20"/>
          <w:szCs w:val="20"/>
        </w:rPr>
        <w:t>cm</w:t>
      </w:r>
      <w:r w:rsidR="00400689">
        <w:rPr>
          <w:rFonts w:ascii="Arial" w:hAnsi="Arial" w:cs="Arial"/>
          <w:sz w:val="20"/>
          <w:szCs w:val="20"/>
          <w:vertAlign w:val="superscript"/>
        </w:rPr>
        <w:t>-2</w:t>
      </w:r>
    </w:p>
    <w:p w:rsidR="009A16DC" w:rsidRDefault="009A16DC" w:rsidP="00764D03">
      <w:pPr>
        <w:spacing w:after="0" w:line="312" w:lineRule="auto"/>
        <w:jc w:val="both"/>
        <w:rPr>
          <w:rFonts w:ascii="Arial" w:hAnsi="Arial" w:cs="Arial"/>
          <w:sz w:val="20"/>
          <w:szCs w:val="20"/>
        </w:rPr>
      </w:pPr>
    </w:p>
    <w:p w:rsidR="009A16DC" w:rsidRDefault="009A16DC" w:rsidP="00764D03">
      <w:pPr>
        <w:spacing w:after="0" w:line="312" w:lineRule="auto"/>
        <w:jc w:val="both"/>
        <w:rPr>
          <w:rFonts w:ascii="Arial" w:hAnsi="Arial" w:cs="Arial"/>
          <w:sz w:val="20"/>
          <w:szCs w:val="20"/>
        </w:rPr>
      </w:pPr>
    </w:p>
    <w:p w:rsidR="00995030" w:rsidRPr="00BB0915" w:rsidRDefault="00995030"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b/>
          <w:sz w:val="20"/>
          <w:szCs w:val="20"/>
        </w:rPr>
      </w:pPr>
      <w:r w:rsidRPr="00BB0915">
        <w:rPr>
          <w:rFonts w:ascii="Arial" w:hAnsi="Arial" w:cs="Arial"/>
          <w:b/>
          <w:sz w:val="20"/>
          <w:szCs w:val="20"/>
        </w:rPr>
        <w:t>METHODOLOGY V2.1</w:t>
      </w:r>
    </w:p>
    <w:p w:rsidR="00243E10" w:rsidRPr="00BB0915" w:rsidRDefault="00243E10"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 xml:space="preserve">Sea surface temperature (SST) provides a measure of the surface ocean conditions, however no information about the subsurface ocean thermal structure (approximately the upper 50 m of the ocean) can be derived from SST alone. For instance, it is known that the oceanic skin temperature erodes when the sea surface is affected by strong winds, creating a well-mixed layer that can reach depths of several tens of meters. Moreover, warm ocean features, mainly anticyclonic rings and eddies, are characterized by a deepening of the isotherms towards their centers with a markedly different temperature and salinity structure than the surrounding waters. Several studies have shown that observations of sea surface height (SSH) are strongly correlated with the thermal structure of the upper ocean (e.g. </w:t>
      </w:r>
      <w:proofErr w:type="spellStart"/>
      <w:r w:rsidRPr="00BB0915">
        <w:rPr>
          <w:rFonts w:ascii="Arial" w:hAnsi="Arial" w:cs="Arial"/>
          <w:sz w:val="20"/>
          <w:szCs w:val="20"/>
        </w:rPr>
        <w:t>Goni</w:t>
      </w:r>
      <w:proofErr w:type="spellEnd"/>
      <w:r w:rsidRPr="00BB0915">
        <w:rPr>
          <w:rFonts w:ascii="Arial" w:hAnsi="Arial" w:cs="Arial"/>
          <w:sz w:val="20"/>
          <w:szCs w:val="20"/>
        </w:rPr>
        <w:t xml:space="preserve"> et al. 1996; Gilson et al. 1998; Mayer et al. 2001; Willis et al. 2004). Based in this virtually ubiquitous relationship, a methodology was developed to estimate fields of isotherm depth from the SHA fields derived from satellite observations.</w:t>
      </w:r>
    </w:p>
    <w:p w:rsidR="00243E10" w:rsidRPr="00BB0915" w:rsidRDefault="00243E10"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The Tropical Cyclone Heat Potential (TCHP</w:t>
      </w:r>
      <w:proofErr w:type="gramStart"/>
      <w:r w:rsidRPr="00BB0915">
        <w:rPr>
          <w:rFonts w:ascii="Arial" w:hAnsi="Arial" w:cs="Arial"/>
          <w:sz w:val="20"/>
          <w:szCs w:val="20"/>
        </w:rPr>
        <w:t>),</w:t>
      </w:r>
      <w:proofErr w:type="gramEnd"/>
      <w:r w:rsidRPr="00BB0915">
        <w:rPr>
          <w:rFonts w:ascii="Arial" w:hAnsi="Arial" w:cs="Arial"/>
          <w:sz w:val="20"/>
          <w:szCs w:val="20"/>
        </w:rPr>
        <w:t xml:space="preserve"> is defined as a measure of the integrated vertical temperature from the sea surface to the depth of the 26°C isotherm. This parameter is computed globally from the altimeter-derived vertical temperature profiles estimates in the upper ocean (Shay et al., 2000). Different methods have been developed to calculate this vertical thermal structure of the upper ocean. The current methodology (version 2.1) to estimate the TCHP consists of the following steps:</w:t>
      </w:r>
    </w:p>
    <w:p w:rsidR="00243E10" w:rsidRPr="00BB0915" w:rsidRDefault="00243E10" w:rsidP="00764D03">
      <w:pPr>
        <w:spacing w:after="0" w:line="312" w:lineRule="auto"/>
        <w:jc w:val="both"/>
        <w:rPr>
          <w:rFonts w:ascii="Arial" w:hAnsi="Arial" w:cs="Arial"/>
          <w:sz w:val="20"/>
          <w:szCs w:val="20"/>
        </w:rPr>
      </w:pP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In-situ temperature profiles obtained mostly from </w:t>
      </w:r>
      <w:proofErr w:type="spellStart"/>
      <w:r w:rsidR="00243E10" w:rsidRPr="00BB0915">
        <w:rPr>
          <w:rFonts w:ascii="Arial" w:hAnsi="Arial" w:cs="Arial"/>
          <w:sz w:val="20"/>
          <w:szCs w:val="20"/>
        </w:rPr>
        <w:t>eXpendable</w:t>
      </w:r>
      <w:proofErr w:type="spellEnd"/>
      <w:r w:rsidR="00243E10" w:rsidRPr="00BB0915">
        <w:rPr>
          <w:rFonts w:ascii="Arial" w:hAnsi="Arial" w:cs="Arial"/>
          <w:sz w:val="20"/>
          <w:szCs w:val="20"/>
        </w:rPr>
        <w:t xml:space="preserve"> </w:t>
      </w:r>
      <w:proofErr w:type="spellStart"/>
      <w:r w:rsidR="00243E10" w:rsidRPr="00BB0915">
        <w:rPr>
          <w:rFonts w:ascii="Arial" w:hAnsi="Arial" w:cs="Arial"/>
          <w:sz w:val="20"/>
          <w:szCs w:val="20"/>
        </w:rPr>
        <w:t>BathyThermograph</w:t>
      </w:r>
      <w:proofErr w:type="spellEnd"/>
      <w:r w:rsidR="00223994">
        <w:rPr>
          <w:rFonts w:ascii="Arial" w:hAnsi="Arial" w:cs="Arial"/>
          <w:sz w:val="20"/>
          <w:szCs w:val="20"/>
        </w:rPr>
        <w:t xml:space="preserve"> </w:t>
      </w:r>
      <w:r w:rsidR="00243E10" w:rsidRPr="00BB0915">
        <w:rPr>
          <w:rFonts w:ascii="Arial" w:hAnsi="Arial" w:cs="Arial"/>
          <w:sz w:val="20"/>
          <w:szCs w:val="20"/>
        </w:rPr>
        <w:t>and profiling-float observations from 1992 to 20</w:t>
      </w:r>
      <w:r w:rsidR="00F03D41">
        <w:rPr>
          <w:rFonts w:ascii="Arial" w:hAnsi="Arial" w:cs="Arial"/>
          <w:sz w:val="20"/>
          <w:szCs w:val="20"/>
        </w:rPr>
        <w:t>1</w:t>
      </w:r>
      <w:r w:rsidR="00243E10" w:rsidRPr="00BB0915">
        <w:rPr>
          <w:rFonts w:ascii="Arial" w:hAnsi="Arial" w:cs="Arial"/>
          <w:sz w:val="20"/>
          <w:szCs w:val="20"/>
        </w:rPr>
        <w:t>0 are grouped in 3°</w:t>
      </w:r>
      <w:r w:rsidR="00A72131">
        <w:rPr>
          <w:rFonts w:ascii="Arial" w:hAnsi="Arial" w:cs="Arial"/>
          <w:sz w:val="20"/>
          <w:szCs w:val="20"/>
        </w:rPr>
        <w:sym w:font="Symbol" w:char="F0B4"/>
      </w:r>
      <w:r w:rsidR="00243E10" w:rsidRPr="00BB0915">
        <w:rPr>
          <w:rFonts w:ascii="Arial" w:hAnsi="Arial" w:cs="Arial"/>
          <w:sz w:val="20"/>
          <w:szCs w:val="20"/>
        </w:rPr>
        <w:t>3° bins with a 1°</w:t>
      </w:r>
      <w:r w:rsidR="00A72131">
        <w:rPr>
          <w:rFonts w:ascii="Arial" w:hAnsi="Arial" w:cs="Arial"/>
          <w:sz w:val="20"/>
          <w:szCs w:val="20"/>
        </w:rPr>
        <w:sym w:font="Symbol" w:char="F0B4"/>
      </w:r>
      <w:r w:rsidR="00243E10" w:rsidRPr="00BB0915">
        <w:rPr>
          <w:rFonts w:ascii="Arial" w:hAnsi="Arial" w:cs="Arial"/>
          <w:sz w:val="20"/>
          <w:szCs w:val="20"/>
        </w:rPr>
        <w:t>1° resolution.</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The</w:t>
      </w:r>
      <w:proofErr w:type="gramEnd"/>
      <w:r w:rsidR="00243E10" w:rsidRPr="00BB0915">
        <w:rPr>
          <w:rFonts w:ascii="Arial" w:hAnsi="Arial" w:cs="Arial"/>
          <w:sz w:val="20"/>
          <w:szCs w:val="20"/>
        </w:rPr>
        <w:t xml:space="preserve"> depth of the 26°C to 28°C isotherms is estimated from each profile.</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The</w:t>
      </w:r>
      <w:proofErr w:type="gramEnd"/>
      <w:r w:rsidR="00243E10" w:rsidRPr="00BB0915">
        <w:rPr>
          <w:rFonts w:ascii="Arial" w:hAnsi="Arial" w:cs="Arial"/>
          <w:sz w:val="20"/>
          <w:szCs w:val="20"/>
        </w:rPr>
        <w:t xml:space="preserve"> weekly SHA gridded fields derived by AVISO are interpolated into the location and time of the temperature profiles.</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In</w:t>
      </w:r>
      <w:proofErr w:type="gramEnd"/>
      <w:r w:rsidR="00243E10" w:rsidRPr="00BB0915">
        <w:rPr>
          <w:rFonts w:ascii="Arial" w:hAnsi="Arial" w:cs="Arial"/>
          <w:sz w:val="20"/>
          <w:szCs w:val="20"/>
        </w:rPr>
        <w:t xml:space="preserve"> each 1°</w:t>
      </w:r>
      <w:r w:rsidR="00A72131">
        <w:rPr>
          <w:rFonts w:ascii="Arial" w:hAnsi="Arial" w:cs="Arial"/>
          <w:sz w:val="20"/>
          <w:szCs w:val="20"/>
        </w:rPr>
        <w:sym w:font="Symbol" w:char="F0B4"/>
      </w:r>
      <w:r w:rsidR="00243E10" w:rsidRPr="00BB0915">
        <w:rPr>
          <w:rFonts w:ascii="Arial" w:hAnsi="Arial" w:cs="Arial"/>
          <w:sz w:val="20"/>
          <w:szCs w:val="20"/>
        </w:rPr>
        <w:t>1° bin the depth of each isotherm is linearly regressed onto the corresponding SHA value.</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Only</w:t>
      </w:r>
      <w:proofErr w:type="gramEnd"/>
      <w:r w:rsidR="00243E10" w:rsidRPr="00BB0915">
        <w:rPr>
          <w:rFonts w:ascii="Arial" w:hAnsi="Arial" w:cs="Arial"/>
          <w:sz w:val="20"/>
          <w:szCs w:val="20"/>
        </w:rPr>
        <w:t xml:space="preserve"> regression parameters that are statistically significant within a 1-sigma level are considered. Any small gaps in the resulting fields of regression parameters are interpolated.</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lastRenderedPageBreak/>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The</w:t>
      </w:r>
      <w:proofErr w:type="gramEnd"/>
      <w:r w:rsidR="00243E10" w:rsidRPr="00BB0915">
        <w:rPr>
          <w:rFonts w:ascii="Arial" w:hAnsi="Arial" w:cs="Arial"/>
          <w:sz w:val="20"/>
          <w:szCs w:val="20"/>
        </w:rPr>
        <w:t xml:space="preserve"> regression coefficients are interpolated in a 1/4°</w:t>
      </w:r>
      <w:r w:rsidR="00A72131">
        <w:rPr>
          <w:rFonts w:ascii="Arial" w:hAnsi="Arial" w:cs="Arial"/>
          <w:sz w:val="20"/>
          <w:szCs w:val="20"/>
        </w:rPr>
        <w:sym w:font="Symbol" w:char="F0B4"/>
      </w:r>
      <w:r w:rsidR="00243E10" w:rsidRPr="00BB0915">
        <w:rPr>
          <w:rFonts w:ascii="Arial" w:hAnsi="Arial" w:cs="Arial"/>
          <w:sz w:val="20"/>
          <w:szCs w:val="20"/>
        </w:rPr>
        <w:t>1/4° grid.</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A</w:t>
      </w:r>
      <w:proofErr w:type="gramEnd"/>
      <w:r w:rsidR="00243E10" w:rsidRPr="00BB0915">
        <w:rPr>
          <w:rFonts w:ascii="Arial" w:hAnsi="Arial" w:cs="Arial"/>
          <w:sz w:val="20"/>
          <w:szCs w:val="20"/>
        </w:rPr>
        <w:t xml:space="preserve"> synthetic temperature profile is derived from the regression parameters and the daily </w:t>
      </w:r>
      <w:r w:rsidR="00A73E7B">
        <w:rPr>
          <w:rFonts w:ascii="Arial" w:hAnsi="Arial" w:cs="Arial"/>
          <w:sz w:val="20"/>
          <w:szCs w:val="20"/>
        </w:rPr>
        <w:t xml:space="preserve">delayed-time, when available, or </w:t>
      </w:r>
      <w:r w:rsidR="00243E10" w:rsidRPr="00BB0915">
        <w:rPr>
          <w:rFonts w:ascii="Arial" w:hAnsi="Arial" w:cs="Arial"/>
          <w:sz w:val="20"/>
          <w:szCs w:val="20"/>
        </w:rPr>
        <w:t>real-time SHA fields distributed by AVISO, which have 1/4°</w:t>
      </w:r>
      <w:r w:rsidR="00A72131">
        <w:rPr>
          <w:rFonts w:ascii="Arial" w:hAnsi="Arial" w:cs="Arial"/>
          <w:sz w:val="20"/>
          <w:szCs w:val="20"/>
        </w:rPr>
        <w:sym w:font="Symbol" w:char="F0B4"/>
      </w:r>
      <w:r w:rsidR="00243E10" w:rsidRPr="00BB0915">
        <w:rPr>
          <w:rFonts w:ascii="Arial" w:hAnsi="Arial" w:cs="Arial"/>
          <w:sz w:val="20"/>
          <w:szCs w:val="20"/>
        </w:rPr>
        <w:t xml:space="preserve">1/4° resolution </w:t>
      </w:r>
      <w:r w:rsidR="00A73E7B">
        <w:rPr>
          <w:rFonts w:ascii="Arial" w:hAnsi="Arial" w:cs="Arial"/>
          <w:sz w:val="20"/>
          <w:szCs w:val="20"/>
        </w:rPr>
        <w:t>and</w:t>
      </w:r>
      <w:r w:rsidR="00243E10" w:rsidRPr="00BB0915">
        <w:rPr>
          <w:rFonts w:ascii="Arial" w:hAnsi="Arial" w:cs="Arial"/>
          <w:sz w:val="20"/>
          <w:szCs w:val="20"/>
        </w:rPr>
        <w:t xml:space="preserve"> allows to identify mesoscale features.</w:t>
      </w:r>
    </w:p>
    <w:p w:rsidR="00243E10" w:rsidRPr="00BB0915"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w:t>
      </w:r>
      <w:proofErr w:type="gramStart"/>
      <w:r w:rsidR="00243E10" w:rsidRPr="00BB0915">
        <w:rPr>
          <w:rFonts w:ascii="Arial" w:hAnsi="Arial" w:cs="Arial"/>
          <w:sz w:val="20"/>
          <w:szCs w:val="20"/>
        </w:rPr>
        <w:t>The</w:t>
      </w:r>
      <w:proofErr w:type="gramEnd"/>
      <w:r w:rsidR="00243E10" w:rsidRPr="00BB0915">
        <w:rPr>
          <w:rFonts w:ascii="Arial" w:hAnsi="Arial" w:cs="Arial"/>
          <w:sz w:val="20"/>
          <w:szCs w:val="20"/>
        </w:rPr>
        <w:t xml:space="preserve"> altimetry-derived synthetic profiles are completed with global TMI-AMSR-E SST fields for the </w:t>
      </w:r>
      <w:r w:rsidR="00243E10" w:rsidRPr="00A72131">
        <w:rPr>
          <w:rFonts w:ascii="Times New Roman" w:hAnsi="Times New Roman" w:cs="Times New Roman"/>
          <w:i/>
          <w:sz w:val="20"/>
          <w:szCs w:val="20"/>
        </w:rPr>
        <w:t>z</w:t>
      </w:r>
      <w:r w:rsidR="008A1358">
        <w:rPr>
          <w:rFonts w:ascii="Arial" w:hAnsi="Arial" w:cs="Arial"/>
          <w:sz w:val="20"/>
          <w:szCs w:val="20"/>
        </w:rPr>
        <w:t> </w:t>
      </w:r>
      <w:r w:rsidR="00243E10" w:rsidRPr="00A72131">
        <w:rPr>
          <w:rFonts w:ascii="Times New Roman" w:hAnsi="Times New Roman" w:cs="Times New Roman"/>
          <w:sz w:val="20"/>
          <w:szCs w:val="20"/>
        </w:rPr>
        <w:t>=</w:t>
      </w:r>
      <w:r w:rsidR="008A1358">
        <w:rPr>
          <w:rFonts w:ascii="Times New Roman" w:hAnsi="Times New Roman" w:cs="Times New Roman"/>
          <w:sz w:val="20"/>
          <w:szCs w:val="20"/>
        </w:rPr>
        <w:t> </w:t>
      </w:r>
      <w:r w:rsidR="00243E10" w:rsidRPr="00A72131">
        <w:rPr>
          <w:rFonts w:ascii="Times New Roman" w:hAnsi="Times New Roman" w:cs="Times New Roman"/>
          <w:sz w:val="20"/>
          <w:szCs w:val="20"/>
        </w:rPr>
        <w:t>0</w:t>
      </w:r>
      <w:r w:rsidR="00243E10" w:rsidRPr="00BB0915">
        <w:rPr>
          <w:rFonts w:ascii="Arial" w:hAnsi="Arial" w:cs="Arial"/>
          <w:sz w:val="20"/>
          <w:szCs w:val="20"/>
        </w:rPr>
        <w:t xml:space="preserve"> temperature.</w:t>
      </w:r>
    </w:p>
    <w:p w:rsidR="00243E10" w:rsidRDefault="00F80C68" w:rsidP="00764D03">
      <w:pPr>
        <w:spacing w:after="0" w:line="312" w:lineRule="auto"/>
        <w:ind w:left="720" w:hanging="360"/>
        <w:jc w:val="both"/>
        <w:rPr>
          <w:rFonts w:ascii="Arial" w:hAnsi="Arial" w:cs="Arial"/>
          <w:sz w:val="20"/>
          <w:szCs w:val="20"/>
        </w:rPr>
      </w:pPr>
      <w:r w:rsidRPr="00BB0915">
        <w:rPr>
          <w:rFonts w:ascii="Arial" w:hAnsi="Arial" w:cs="Arial"/>
          <w:sz w:val="20"/>
          <w:szCs w:val="20"/>
        </w:rPr>
        <w:t>●</w:t>
      </w:r>
      <w:r w:rsidR="00243E10" w:rsidRPr="00BB0915">
        <w:rPr>
          <w:rFonts w:ascii="Arial" w:hAnsi="Arial" w:cs="Arial"/>
          <w:sz w:val="20"/>
          <w:szCs w:val="20"/>
        </w:rPr>
        <w:t xml:space="preserve"> The TCHP is computed as the anomalous heat storage associated with temperatures larg</w:t>
      </w:r>
      <w:r w:rsidR="00E72C88">
        <w:rPr>
          <w:rFonts w:ascii="Arial" w:hAnsi="Arial" w:cs="Arial"/>
          <w:sz w:val="20"/>
          <w:szCs w:val="20"/>
        </w:rPr>
        <w:t>er than 26°C in each grid-point:</w:t>
      </w:r>
    </w:p>
    <w:p w:rsidR="00BD60AA" w:rsidRDefault="00BD60AA" w:rsidP="00764D03">
      <w:pPr>
        <w:spacing w:after="0" w:line="312" w:lineRule="auto"/>
        <w:ind w:left="720" w:hanging="360"/>
        <w:jc w:val="both"/>
        <w:rPr>
          <w:rFonts w:ascii="Arial" w:hAnsi="Arial" w:cs="Arial"/>
          <w:sz w:val="20"/>
          <w:szCs w:val="20"/>
        </w:rPr>
      </w:pPr>
    </w:p>
    <w:p w:rsidR="00E72C88" w:rsidRDefault="00E72C88" w:rsidP="00B97A2E">
      <w:pPr>
        <w:tabs>
          <w:tab w:val="left" w:pos="1440"/>
          <w:tab w:val="left" w:pos="3600"/>
          <w:tab w:val="right" w:pos="8640"/>
        </w:tabs>
        <w:spacing w:line="312" w:lineRule="auto"/>
        <w:ind w:firstLine="720"/>
      </w:pPr>
      <w:r>
        <w:rPr>
          <w:color w:val="000000"/>
        </w:rPr>
        <w:tab/>
      </w:r>
      <w:r>
        <w:rPr>
          <w:color w:val="000000"/>
        </w:rPr>
        <w:tab/>
      </w:r>
      <m:oMath>
        <m:r>
          <w:rPr>
            <w:rFonts w:ascii="Cambria Math" w:hAnsi="Cambria Math" w:cs="Times New Roman"/>
            <w:color w:val="000000"/>
          </w:rPr>
          <m:t>TCHP</m:t>
        </m:r>
        <m:d>
          <m:dPr>
            <m:ctrlPr>
              <w:rPr>
                <w:rFonts w:ascii="Cambria Math" w:hAnsi="Times New Roman" w:cs="Times New Roman"/>
                <w:i/>
                <w:color w:val="000000"/>
              </w:rPr>
            </m:ctrlPr>
          </m:dPr>
          <m:e>
            <m:r>
              <w:rPr>
                <w:rFonts w:ascii="Cambria Math" w:hAnsi="Cambria Math" w:cs="Times New Roman"/>
                <w:color w:val="000000"/>
              </w:rPr>
              <m:t>x</m:t>
            </m:r>
            <m:r>
              <w:rPr>
                <w:rFonts w:ascii="Cambria Math" w:hAnsi="Times New Roman" w:cs="Times New Roman"/>
                <w:color w:val="000000"/>
              </w:rPr>
              <m:t>,</m:t>
            </m:r>
            <m:r>
              <w:rPr>
                <w:rFonts w:ascii="Cambria Math" w:hAnsi="Cambria Math" w:cs="Times New Roman"/>
                <w:color w:val="000000"/>
              </w:rPr>
              <m:t>y</m:t>
            </m:r>
          </m:e>
        </m:d>
        <m:r>
          <w:rPr>
            <w:rFonts w:ascii="Cambria Math" w:hAnsi="Times New Roman" w:cs="Times New Roman"/>
            <w:color w:val="000000"/>
          </w:rPr>
          <m:t>=</m:t>
        </m:r>
        <m:sSub>
          <m:sSubPr>
            <m:ctrlPr>
              <w:rPr>
                <w:rFonts w:ascii="Cambria Math" w:hAnsi="Times New Roman" w:cs="Times New Roman"/>
                <w:i/>
                <w:color w:val="000000"/>
              </w:rPr>
            </m:ctrlPr>
          </m:sSubPr>
          <m:e>
            <m:r>
              <w:rPr>
                <w:rFonts w:ascii="Cambria Math" w:hAnsi="Cambria Math" w:cs="Times New Roman"/>
                <w:color w:val="000000"/>
              </w:rPr>
              <m:t>C</m:t>
            </m:r>
          </m:e>
          <m:sub>
            <m:r>
              <w:rPr>
                <w:rFonts w:ascii="Cambria Math" w:hAnsi="Cambria Math" w:cs="Times New Roman"/>
                <w:color w:val="000000"/>
              </w:rPr>
              <m:t>p</m:t>
            </m:r>
          </m:sub>
        </m:sSub>
        <m:r>
          <w:rPr>
            <w:rFonts w:ascii="Cambria Math" w:hAnsi="Times New Roman" w:cs="Times New Roman"/>
            <w:color w:val="000000"/>
          </w:rPr>
          <m:t xml:space="preserve"> </m:t>
        </m:r>
        <m:r>
          <w:rPr>
            <w:rFonts w:ascii="Cambria Math" w:hAnsi="Cambria Math" w:cs="Times New Roman"/>
            <w:color w:val="000000"/>
          </w:rPr>
          <m:t>ρ</m:t>
        </m:r>
        <m:nary>
          <m:naryPr>
            <m:limLoc m:val="undOvr"/>
            <m:subHide m:val="on"/>
            <m:supHide m:val="on"/>
            <m:ctrlPr>
              <w:rPr>
                <w:rFonts w:ascii="Cambria Math" w:hAnsi="Times New Roman" w:cs="Times New Roman"/>
                <w:i/>
                <w:color w:val="000000"/>
              </w:rPr>
            </m:ctrlPr>
          </m:naryPr>
          <m:sub/>
          <m:sup/>
          <m:e>
            <m:r>
              <w:rPr>
                <w:rFonts w:ascii="Cambria Math" w:hAnsi="Cambria Math" w:cs="Times New Roman"/>
                <w:color w:val="000000"/>
              </w:rPr>
              <m:t>T</m:t>
            </m:r>
            <m:d>
              <m:dPr>
                <m:ctrlPr>
                  <w:rPr>
                    <w:rFonts w:ascii="Cambria Math" w:hAnsi="Times New Roman" w:cs="Times New Roman"/>
                    <w:i/>
                    <w:color w:val="000000"/>
                  </w:rPr>
                </m:ctrlPr>
              </m:dPr>
              <m:e>
                <m:r>
                  <w:rPr>
                    <w:rFonts w:ascii="Cambria Math" w:hAnsi="Cambria Math" w:cs="Times New Roman"/>
                    <w:color w:val="000000"/>
                  </w:rPr>
                  <m:t>x</m:t>
                </m:r>
                <m:r>
                  <w:rPr>
                    <w:rFonts w:ascii="Cambria Math" w:hAnsi="Times New Roman" w:cs="Times New Roman"/>
                    <w:color w:val="000000"/>
                  </w:rPr>
                  <m:t>,</m:t>
                </m:r>
                <m:r>
                  <w:rPr>
                    <w:rFonts w:ascii="Cambria Math" w:hAnsi="Cambria Math" w:cs="Times New Roman"/>
                    <w:color w:val="000000"/>
                  </w:rPr>
                  <m:t>y</m:t>
                </m:r>
                <m:r>
                  <w:rPr>
                    <w:rFonts w:ascii="Cambria Math" w:hAnsi="Times New Roman" w:cs="Times New Roman"/>
                    <w:color w:val="000000"/>
                  </w:rPr>
                  <m:t>,</m:t>
                </m:r>
                <m:r>
                  <w:rPr>
                    <w:rFonts w:ascii="Cambria Math" w:hAnsi="Cambria Math" w:cs="Times New Roman"/>
                    <w:color w:val="000000"/>
                  </w:rPr>
                  <m:t>z</m:t>
                </m:r>
              </m:e>
            </m:d>
            <m:r>
              <w:rPr>
                <w:rFonts w:ascii="Cambria Math" w:hAnsi="Cambria Math" w:cs="Times New Roman"/>
                <w:color w:val="000000"/>
              </w:rPr>
              <m:t>dz</m:t>
            </m:r>
          </m:e>
        </m:nary>
      </m:oMath>
      <w:r>
        <w:rPr>
          <w:color w:val="000000"/>
        </w:rPr>
        <w:t>,</w:t>
      </w:r>
    </w:p>
    <w:p w:rsidR="00BD60AA" w:rsidRDefault="00BD60AA" w:rsidP="00764D03">
      <w:pPr>
        <w:spacing w:after="0" w:line="312" w:lineRule="auto"/>
        <w:ind w:left="360"/>
        <w:jc w:val="both"/>
        <w:rPr>
          <w:rFonts w:ascii="Arial" w:hAnsi="Arial" w:cs="Arial"/>
          <w:sz w:val="20"/>
          <w:szCs w:val="20"/>
        </w:rPr>
      </w:pPr>
    </w:p>
    <w:p w:rsidR="00E72C88" w:rsidRPr="001A5B11" w:rsidRDefault="00E72C88" w:rsidP="00764D03">
      <w:pPr>
        <w:spacing w:after="0" w:line="312" w:lineRule="auto"/>
        <w:ind w:left="360"/>
        <w:jc w:val="both"/>
        <w:rPr>
          <w:rFonts w:ascii="Arial" w:hAnsi="Arial" w:cs="Arial"/>
          <w:sz w:val="20"/>
          <w:szCs w:val="20"/>
        </w:rPr>
      </w:pPr>
      <w:proofErr w:type="gramStart"/>
      <w:r w:rsidRPr="001A5B11">
        <w:rPr>
          <w:rFonts w:ascii="Arial" w:hAnsi="Arial" w:cs="Arial"/>
          <w:sz w:val="20"/>
          <w:szCs w:val="20"/>
        </w:rPr>
        <w:t>where</w:t>
      </w:r>
      <w:proofErr w:type="gramEnd"/>
      <w:r w:rsidRPr="001A5B11">
        <w:rPr>
          <w:rFonts w:ascii="Arial" w:hAnsi="Arial" w:cs="Arial"/>
          <w:sz w:val="20"/>
          <w:szCs w:val="20"/>
        </w:rPr>
        <w:t xml:space="preserve"> </w:t>
      </w:r>
      <w:r w:rsidRPr="00A72131">
        <w:rPr>
          <w:rFonts w:ascii="Times New Roman" w:hAnsi="Times New Roman" w:cs="Times New Roman"/>
          <w:i/>
          <w:sz w:val="20"/>
          <w:szCs w:val="20"/>
        </w:rPr>
        <w:t>x</w:t>
      </w:r>
      <w:r w:rsidRPr="001A5B11">
        <w:rPr>
          <w:rFonts w:ascii="Arial" w:hAnsi="Arial" w:cs="Arial"/>
          <w:sz w:val="20"/>
          <w:szCs w:val="20"/>
        </w:rPr>
        <w:t xml:space="preserve"> and </w:t>
      </w:r>
      <w:r w:rsidRPr="00A72131">
        <w:rPr>
          <w:rFonts w:ascii="Times New Roman" w:hAnsi="Times New Roman" w:cs="Times New Roman"/>
          <w:i/>
          <w:sz w:val="20"/>
          <w:szCs w:val="20"/>
        </w:rPr>
        <w:t>y</w:t>
      </w:r>
      <w:r w:rsidRPr="001A5B11">
        <w:rPr>
          <w:rFonts w:ascii="Arial" w:hAnsi="Arial" w:cs="Arial"/>
          <w:sz w:val="20"/>
          <w:szCs w:val="20"/>
        </w:rPr>
        <w:t xml:space="preserve"> are the horizontal coordinates, </w:t>
      </w:r>
      <w:r w:rsidRPr="001A5B11">
        <w:rPr>
          <w:rFonts w:ascii="Times New Roman" w:hAnsi="Times New Roman" w:cs="Times New Roman"/>
          <w:i/>
          <w:sz w:val="20"/>
          <w:szCs w:val="20"/>
        </w:rPr>
        <w:t>C</w:t>
      </w:r>
      <w:r w:rsidRPr="001A5B11">
        <w:rPr>
          <w:rFonts w:ascii="Times New Roman" w:hAnsi="Times New Roman" w:cs="Times New Roman"/>
          <w:i/>
          <w:sz w:val="20"/>
          <w:szCs w:val="20"/>
          <w:vertAlign w:val="subscript"/>
        </w:rPr>
        <w:t>p</w:t>
      </w:r>
      <w:r w:rsidRPr="001A5B11">
        <w:rPr>
          <w:rFonts w:ascii="Arial" w:hAnsi="Arial" w:cs="Arial"/>
          <w:sz w:val="20"/>
          <w:szCs w:val="20"/>
        </w:rPr>
        <w:t> = 3990 J kg</w:t>
      </w:r>
      <w:r w:rsidRPr="001A5B11">
        <w:rPr>
          <w:rFonts w:ascii="Arial" w:hAnsi="Arial" w:cs="Arial"/>
          <w:sz w:val="20"/>
          <w:szCs w:val="20"/>
          <w:vertAlign w:val="superscript"/>
        </w:rPr>
        <w:t>-1</w:t>
      </w:r>
      <w:r w:rsidRPr="001A5B11">
        <w:rPr>
          <w:rFonts w:ascii="Arial" w:hAnsi="Arial" w:cs="Arial"/>
          <w:sz w:val="20"/>
          <w:szCs w:val="20"/>
        </w:rPr>
        <w:t> K</w:t>
      </w:r>
      <w:r w:rsidRPr="001A5B11">
        <w:rPr>
          <w:rFonts w:ascii="Arial" w:hAnsi="Arial" w:cs="Arial"/>
          <w:sz w:val="20"/>
          <w:szCs w:val="20"/>
          <w:vertAlign w:val="superscript"/>
        </w:rPr>
        <w:t>-1</w:t>
      </w:r>
      <w:r w:rsidRPr="001A5B11">
        <w:rPr>
          <w:rFonts w:ascii="Arial" w:hAnsi="Arial" w:cs="Arial"/>
          <w:sz w:val="20"/>
          <w:szCs w:val="20"/>
        </w:rPr>
        <w:t xml:space="preserve"> is the heat capacity of the water, </w:t>
      </w:r>
      <w:r w:rsidRPr="00330481">
        <w:rPr>
          <w:rFonts w:ascii="Times New Roman" w:hAnsi="Times New Roman" w:cs="Times New Roman"/>
          <w:i/>
          <w:sz w:val="20"/>
          <w:szCs w:val="20"/>
        </w:rPr>
        <w:t>ρ</w:t>
      </w:r>
      <w:r w:rsidRPr="001A5B11">
        <w:rPr>
          <w:rFonts w:ascii="Arial" w:hAnsi="Arial" w:cs="Arial"/>
          <w:sz w:val="20"/>
          <w:szCs w:val="20"/>
        </w:rPr>
        <w:t> = 1025 kg m</w:t>
      </w:r>
      <w:r w:rsidRPr="001A5B11">
        <w:rPr>
          <w:rFonts w:ascii="Arial" w:hAnsi="Arial" w:cs="Arial"/>
          <w:sz w:val="20"/>
          <w:szCs w:val="20"/>
          <w:vertAlign w:val="superscript"/>
        </w:rPr>
        <w:t>-3</w:t>
      </w:r>
      <w:r w:rsidRPr="001A5B11">
        <w:rPr>
          <w:rFonts w:ascii="Arial" w:hAnsi="Arial" w:cs="Arial"/>
          <w:sz w:val="20"/>
          <w:szCs w:val="20"/>
        </w:rPr>
        <w:t xml:space="preserve"> is the water density, and </w:t>
      </w:r>
      <w:r w:rsidRPr="001A5B11">
        <w:rPr>
          <w:rFonts w:ascii="Times New Roman" w:hAnsi="Times New Roman" w:cs="Times New Roman"/>
          <w:i/>
          <w:sz w:val="20"/>
          <w:szCs w:val="20"/>
        </w:rPr>
        <w:t>T</w:t>
      </w:r>
      <w:r w:rsidRPr="001A5B11">
        <w:rPr>
          <w:rFonts w:ascii="Times New Roman" w:hAnsi="Times New Roman" w:cs="Times New Roman"/>
          <w:sz w:val="20"/>
          <w:szCs w:val="20"/>
        </w:rPr>
        <w:t>(</w:t>
      </w:r>
      <w:proofErr w:type="spellStart"/>
      <w:r w:rsidRPr="001A5B11">
        <w:rPr>
          <w:rFonts w:ascii="Times New Roman" w:hAnsi="Times New Roman" w:cs="Times New Roman"/>
          <w:i/>
          <w:sz w:val="20"/>
          <w:szCs w:val="20"/>
        </w:rPr>
        <w:t>x,y,z</w:t>
      </w:r>
      <w:proofErr w:type="spellEnd"/>
      <w:r w:rsidRPr="001A5B11">
        <w:rPr>
          <w:rFonts w:ascii="Times New Roman" w:hAnsi="Times New Roman" w:cs="Times New Roman"/>
          <w:sz w:val="20"/>
          <w:szCs w:val="20"/>
        </w:rPr>
        <w:t>)</w:t>
      </w:r>
      <w:r w:rsidRPr="001A5B11">
        <w:rPr>
          <w:rFonts w:ascii="Arial" w:hAnsi="Arial" w:cs="Arial"/>
          <w:sz w:val="20"/>
          <w:szCs w:val="20"/>
        </w:rPr>
        <w:t xml:space="preserve"> is the temperature profile.</w:t>
      </w:r>
    </w:p>
    <w:p w:rsidR="00B820F4" w:rsidRPr="00BB0915" w:rsidRDefault="00B820F4"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The SHA fields are:</w:t>
      </w: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ab/>
        <w:t xml:space="preserve">Merged </w:t>
      </w:r>
      <w:proofErr w:type="spellStart"/>
      <w:r w:rsidRPr="00BB0915">
        <w:rPr>
          <w:rFonts w:ascii="Arial" w:hAnsi="Arial" w:cs="Arial"/>
          <w:sz w:val="20"/>
          <w:szCs w:val="20"/>
        </w:rPr>
        <w:t>Ssalto</w:t>
      </w:r>
      <w:proofErr w:type="spellEnd"/>
      <w:r w:rsidRPr="00BB0915">
        <w:rPr>
          <w:rFonts w:ascii="Arial" w:hAnsi="Arial" w:cs="Arial"/>
          <w:sz w:val="20"/>
          <w:szCs w:val="20"/>
        </w:rPr>
        <w:t>/</w:t>
      </w:r>
      <w:proofErr w:type="spellStart"/>
      <w:r w:rsidRPr="00BB0915">
        <w:rPr>
          <w:rFonts w:ascii="Arial" w:hAnsi="Arial" w:cs="Arial"/>
          <w:sz w:val="20"/>
          <w:szCs w:val="20"/>
        </w:rPr>
        <w:t>Duacs</w:t>
      </w:r>
      <w:proofErr w:type="spellEnd"/>
      <w:r w:rsidRPr="00BB0915">
        <w:rPr>
          <w:rFonts w:ascii="Arial" w:hAnsi="Arial" w:cs="Arial"/>
          <w:sz w:val="20"/>
          <w:szCs w:val="20"/>
        </w:rPr>
        <w:t xml:space="preserve"> Gridded Sea level anomalies (1/</w:t>
      </w:r>
      <w:r w:rsidR="00B97A2E">
        <w:rPr>
          <w:rFonts w:ascii="Arial" w:hAnsi="Arial" w:cs="Arial"/>
          <w:sz w:val="20"/>
          <w:szCs w:val="20"/>
        </w:rPr>
        <w:t>4</w:t>
      </w:r>
      <w:r w:rsidRPr="00BB0915">
        <w:rPr>
          <w:rFonts w:ascii="Arial" w:hAnsi="Arial" w:cs="Arial"/>
          <w:sz w:val="20"/>
          <w:szCs w:val="20"/>
        </w:rPr>
        <w:t>°</w:t>
      </w:r>
      <w:r w:rsidR="00A72131">
        <w:rPr>
          <w:rFonts w:ascii="Arial" w:hAnsi="Arial" w:cs="Arial"/>
          <w:sz w:val="20"/>
          <w:szCs w:val="20"/>
        </w:rPr>
        <w:sym w:font="Symbol" w:char="F0B4"/>
      </w:r>
      <w:r w:rsidRPr="00BB0915">
        <w:rPr>
          <w:rFonts w:ascii="Arial" w:hAnsi="Arial" w:cs="Arial"/>
          <w:sz w:val="20"/>
          <w:szCs w:val="20"/>
        </w:rPr>
        <w:t>1/</w:t>
      </w:r>
      <w:r w:rsidR="00B97A2E">
        <w:rPr>
          <w:rFonts w:ascii="Arial" w:hAnsi="Arial" w:cs="Arial"/>
          <w:sz w:val="20"/>
          <w:szCs w:val="20"/>
        </w:rPr>
        <w:t>4</w:t>
      </w:r>
      <w:r w:rsidRPr="00BB0915">
        <w:rPr>
          <w:rFonts w:ascii="Arial" w:hAnsi="Arial" w:cs="Arial"/>
          <w:sz w:val="20"/>
          <w:szCs w:val="20"/>
        </w:rPr>
        <w:t>° on a Mercator grid)</w:t>
      </w:r>
    </w:p>
    <w:p w:rsidR="00243E10" w:rsidRPr="00BB0915" w:rsidRDefault="00243E10" w:rsidP="00764D03">
      <w:pPr>
        <w:spacing w:after="0" w:line="312" w:lineRule="auto"/>
        <w:jc w:val="both"/>
        <w:rPr>
          <w:rFonts w:ascii="Arial" w:hAnsi="Arial" w:cs="Arial"/>
          <w:i/>
          <w:sz w:val="20"/>
          <w:szCs w:val="20"/>
        </w:rPr>
      </w:pPr>
      <w:r w:rsidRPr="00BB0915">
        <w:rPr>
          <w:rFonts w:ascii="Arial" w:hAnsi="Arial" w:cs="Arial"/>
          <w:sz w:val="20"/>
          <w:szCs w:val="20"/>
        </w:rPr>
        <w:tab/>
      </w:r>
      <w:r w:rsidRPr="00BB0915">
        <w:rPr>
          <w:rFonts w:ascii="Arial" w:hAnsi="Arial" w:cs="Arial"/>
          <w:sz w:val="20"/>
          <w:szCs w:val="20"/>
        </w:rPr>
        <w:tab/>
      </w:r>
      <w:r w:rsidRPr="00BB0915">
        <w:rPr>
          <w:rFonts w:ascii="Arial" w:hAnsi="Arial" w:cs="Arial"/>
          <w:i/>
          <w:sz w:val="20"/>
          <w:szCs w:val="20"/>
        </w:rPr>
        <w:t>http://www.aviso.oceanobs.com/en/data/products/sea-surface-height-products/global/index.html</w:t>
      </w:r>
    </w:p>
    <w:p w:rsidR="00243E10" w:rsidRPr="00BB0915" w:rsidRDefault="00243E10"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The SST fields are:</w:t>
      </w: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ab/>
        <w:t>TMI Sea Surface Temperature</w:t>
      </w:r>
    </w:p>
    <w:p w:rsidR="00243E10" w:rsidRPr="00BB0915" w:rsidRDefault="00243E10" w:rsidP="00764D03">
      <w:pPr>
        <w:spacing w:after="0" w:line="312" w:lineRule="auto"/>
        <w:jc w:val="both"/>
        <w:rPr>
          <w:rFonts w:ascii="Arial" w:hAnsi="Arial" w:cs="Arial"/>
          <w:i/>
          <w:sz w:val="20"/>
          <w:szCs w:val="20"/>
        </w:rPr>
      </w:pPr>
      <w:r w:rsidRPr="00BB0915">
        <w:rPr>
          <w:rFonts w:ascii="Arial" w:hAnsi="Arial" w:cs="Arial"/>
          <w:sz w:val="20"/>
          <w:szCs w:val="20"/>
        </w:rPr>
        <w:tab/>
      </w:r>
      <w:r w:rsidRPr="00BB0915">
        <w:rPr>
          <w:rFonts w:ascii="Arial" w:hAnsi="Arial" w:cs="Arial"/>
          <w:sz w:val="20"/>
          <w:szCs w:val="20"/>
        </w:rPr>
        <w:tab/>
      </w:r>
      <w:r w:rsidRPr="00BB0915">
        <w:rPr>
          <w:rFonts w:ascii="Arial" w:hAnsi="Arial" w:cs="Arial"/>
          <w:i/>
          <w:sz w:val="20"/>
          <w:szCs w:val="20"/>
        </w:rPr>
        <w:t>http://www.remss.com/tmi/tmi_browse.html</w:t>
      </w:r>
    </w:p>
    <w:p w:rsidR="00243E10" w:rsidRDefault="00243E10" w:rsidP="00764D03">
      <w:pPr>
        <w:spacing w:after="0" w:line="312" w:lineRule="auto"/>
        <w:jc w:val="both"/>
        <w:rPr>
          <w:rFonts w:ascii="Arial" w:hAnsi="Arial" w:cs="Arial"/>
          <w:sz w:val="20"/>
          <w:szCs w:val="20"/>
        </w:rPr>
      </w:pPr>
    </w:p>
    <w:p w:rsidR="00995030" w:rsidRPr="00BB0915" w:rsidRDefault="00995030"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sz w:val="20"/>
          <w:szCs w:val="20"/>
        </w:rPr>
      </w:pPr>
      <w:r w:rsidRPr="00BB0915">
        <w:rPr>
          <w:rFonts w:ascii="Arial" w:hAnsi="Arial" w:cs="Arial"/>
          <w:sz w:val="20"/>
          <w:szCs w:val="20"/>
        </w:rPr>
        <w:t xml:space="preserve">For technical questions, please contact Joaquin </w:t>
      </w:r>
      <w:proofErr w:type="spellStart"/>
      <w:r w:rsidRPr="00BB0915">
        <w:rPr>
          <w:rFonts w:ascii="Arial" w:hAnsi="Arial" w:cs="Arial"/>
          <w:sz w:val="20"/>
          <w:szCs w:val="20"/>
        </w:rPr>
        <w:t>Triananes</w:t>
      </w:r>
      <w:proofErr w:type="spellEnd"/>
      <w:r w:rsidRPr="00BB0915">
        <w:rPr>
          <w:rFonts w:ascii="Arial" w:hAnsi="Arial" w:cs="Arial"/>
          <w:sz w:val="20"/>
          <w:szCs w:val="20"/>
        </w:rPr>
        <w:t xml:space="preserve"> (</w:t>
      </w:r>
      <w:r w:rsidRPr="00BB0915">
        <w:rPr>
          <w:rFonts w:ascii="Arial" w:hAnsi="Arial" w:cs="Arial"/>
          <w:i/>
          <w:sz w:val="20"/>
          <w:szCs w:val="20"/>
        </w:rPr>
        <w:t>Joaquin.Trinanes@noaa.gov</w:t>
      </w:r>
      <w:r w:rsidRPr="00BB0915">
        <w:rPr>
          <w:rFonts w:ascii="Arial" w:hAnsi="Arial" w:cs="Arial"/>
          <w:sz w:val="20"/>
          <w:szCs w:val="20"/>
        </w:rPr>
        <w:t xml:space="preserve">), Francis </w:t>
      </w:r>
      <w:proofErr w:type="spellStart"/>
      <w:r w:rsidRPr="00BB0915">
        <w:rPr>
          <w:rFonts w:ascii="Arial" w:hAnsi="Arial" w:cs="Arial"/>
          <w:sz w:val="20"/>
          <w:szCs w:val="20"/>
        </w:rPr>
        <w:t>Bringas</w:t>
      </w:r>
      <w:proofErr w:type="spellEnd"/>
      <w:r w:rsidRPr="00BB0915">
        <w:rPr>
          <w:rFonts w:ascii="Arial" w:hAnsi="Arial" w:cs="Arial"/>
          <w:sz w:val="20"/>
          <w:szCs w:val="20"/>
        </w:rPr>
        <w:t xml:space="preserve"> (</w:t>
      </w:r>
      <w:r w:rsidRPr="00BB0915">
        <w:rPr>
          <w:rFonts w:ascii="Arial" w:hAnsi="Arial" w:cs="Arial"/>
          <w:i/>
          <w:sz w:val="20"/>
          <w:szCs w:val="20"/>
        </w:rPr>
        <w:t>Francis.Bringas@noaa.gov</w:t>
      </w:r>
      <w:r w:rsidRPr="00BB0915">
        <w:rPr>
          <w:rFonts w:ascii="Arial" w:hAnsi="Arial" w:cs="Arial"/>
          <w:sz w:val="20"/>
          <w:szCs w:val="20"/>
        </w:rPr>
        <w:t xml:space="preserve">) or Ricardo </w:t>
      </w:r>
      <w:proofErr w:type="spellStart"/>
      <w:r w:rsidRPr="00BB0915">
        <w:rPr>
          <w:rFonts w:ascii="Arial" w:hAnsi="Arial" w:cs="Arial"/>
          <w:sz w:val="20"/>
          <w:szCs w:val="20"/>
        </w:rPr>
        <w:t>Domingues</w:t>
      </w:r>
      <w:proofErr w:type="spellEnd"/>
      <w:r w:rsidRPr="00BB0915">
        <w:rPr>
          <w:rFonts w:ascii="Arial" w:hAnsi="Arial" w:cs="Arial"/>
          <w:sz w:val="20"/>
          <w:szCs w:val="20"/>
        </w:rPr>
        <w:t xml:space="preserve"> (</w:t>
      </w:r>
      <w:r w:rsidRPr="00BB0915">
        <w:rPr>
          <w:rFonts w:ascii="Arial" w:hAnsi="Arial" w:cs="Arial"/>
          <w:i/>
          <w:sz w:val="20"/>
          <w:szCs w:val="20"/>
        </w:rPr>
        <w:t>Ricardo.Domingues@noaa.gov</w:t>
      </w:r>
      <w:r w:rsidRPr="00BB0915">
        <w:rPr>
          <w:rFonts w:ascii="Arial" w:hAnsi="Arial" w:cs="Arial"/>
          <w:sz w:val="20"/>
          <w:szCs w:val="20"/>
        </w:rPr>
        <w:t>).</w:t>
      </w:r>
      <w:r w:rsidR="00594393">
        <w:rPr>
          <w:rFonts w:ascii="Arial" w:hAnsi="Arial" w:cs="Arial"/>
          <w:sz w:val="20"/>
          <w:szCs w:val="20"/>
        </w:rPr>
        <w:t xml:space="preserve"> </w:t>
      </w:r>
      <w:r w:rsidRPr="00BB0915">
        <w:rPr>
          <w:rFonts w:ascii="Arial" w:hAnsi="Arial" w:cs="Arial"/>
          <w:sz w:val="20"/>
          <w:szCs w:val="20"/>
        </w:rPr>
        <w:t xml:space="preserve">For scientific questions please contact Gustavo </w:t>
      </w:r>
      <w:proofErr w:type="spellStart"/>
      <w:r w:rsidRPr="00BB0915">
        <w:rPr>
          <w:rFonts w:ascii="Arial" w:hAnsi="Arial" w:cs="Arial"/>
          <w:sz w:val="20"/>
          <w:szCs w:val="20"/>
        </w:rPr>
        <w:t>Goni</w:t>
      </w:r>
      <w:proofErr w:type="spellEnd"/>
      <w:r w:rsidRPr="00BB0915">
        <w:rPr>
          <w:rFonts w:ascii="Arial" w:hAnsi="Arial" w:cs="Arial"/>
          <w:sz w:val="20"/>
          <w:szCs w:val="20"/>
        </w:rPr>
        <w:t xml:space="preserve"> (</w:t>
      </w:r>
      <w:r w:rsidRPr="00BB0915">
        <w:rPr>
          <w:rFonts w:ascii="Arial" w:hAnsi="Arial" w:cs="Arial"/>
          <w:i/>
          <w:sz w:val="20"/>
          <w:szCs w:val="20"/>
        </w:rPr>
        <w:t>Gustavo.Goni@noaa.gov</w:t>
      </w:r>
      <w:r w:rsidRPr="00BB0915">
        <w:rPr>
          <w:rFonts w:ascii="Arial" w:hAnsi="Arial" w:cs="Arial"/>
          <w:sz w:val="20"/>
          <w:szCs w:val="20"/>
        </w:rPr>
        <w:t>).</w:t>
      </w:r>
    </w:p>
    <w:p w:rsidR="00C921D0" w:rsidRPr="00BB0915" w:rsidRDefault="00C921D0" w:rsidP="00764D03">
      <w:pPr>
        <w:spacing w:after="0" w:line="312" w:lineRule="auto"/>
        <w:jc w:val="both"/>
        <w:rPr>
          <w:rFonts w:ascii="Arial" w:hAnsi="Arial" w:cs="Arial"/>
          <w:sz w:val="20"/>
          <w:szCs w:val="20"/>
        </w:rPr>
      </w:pPr>
    </w:p>
    <w:p w:rsidR="00C921D0" w:rsidRDefault="00C921D0" w:rsidP="00764D03">
      <w:pPr>
        <w:spacing w:after="0" w:line="312" w:lineRule="auto"/>
        <w:jc w:val="both"/>
        <w:rPr>
          <w:rFonts w:ascii="Arial" w:hAnsi="Arial" w:cs="Arial"/>
          <w:sz w:val="20"/>
          <w:szCs w:val="20"/>
        </w:rPr>
      </w:pPr>
    </w:p>
    <w:p w:rsidR="00995030" w:rsidRPr="00BB0915" w:rsidRDefault="00995030" w:rsidP="00764D03">
      <w:pPr>
        <w:spacing w:after="0" w:line="312" w:lineRule="auto"/>
        <w:jc w:val="both"/>
        <w:rPr>
          <w:rFonts w:ascii="Arial" w:hAnsi="Arial" w:cs="Arial"/>
          <w:sz w:val="20"/>
          <w:szCs w:val="20"/>
        </w:rPr>
      </w:pPr>
    </w:p>
    <w:p w:rsidR="00C921D0" w:rsidRPr="00BB0915" w:rsidRDefault="00C921D0" w:rsidP="00764D03">
      <w:pPr>
        <w:spacing w:after="0" w:line="312" w:lineRule="auto"/>
        <w:jc w:val="both"/>
        <w:rPr>
          <w:rFonts w:ascii="Arial" w:hAnsi="Arial" w:cs="Arial"/>
          <w:b/>
          <w:sz w:val="20"/>
          <w:szCs w:val="20"/>
        </w:rPr>
      </w:pPr>
      <w:r w:rsidRPr="00BB0915">
        <w:rPr>
          <w:rFonts w:ascii="Arial" w:hAnsi="Arial" w:cs="Arial"/>
          <w:b/>
          <w:sz w:val="20"/>
          <w:szCs w:val="20"/>
        </w:rPr>
        <w:t>How to acknowledge data from NOAA/AOML Tropical Cyclone Heat Potential</w:t>
      </w:r>
    </w:p>
    <w:p w:rsidR="00C921D0" w:rsidRPr="00BB0915" w:rsidRDefault="00C921D0" w:rsidP="00764D03">
      <w:pPr>
        <w:spacing w:after="0" w:line="312" w:lineRule="auto"/>
        <w:jc w:val="both"/>
        <w:rPr>
          <w:rFonts w:ascii="Arial" w:hAnsi="Arial" w:cs="Arial"/>
          <w:sz w:val="20"/>
          <w:szCs w:val="20"/>
        </w:rPr>
      </w:pPr>
    </w:p>
    <w:p w:rsidR="00C921D0" w:rsidRPr="00BB0915" w:rsidRDefault="00C921D0" w:rsidP="00764D03">
      <w:pPr>
        <w:spacing w:after="0" w:line="312" w:lineRule="auto"/>
        <w:jc w:val="both"/>
        <w:rPr>
          <w:rFonts w:ascii="Arial" w:hAnsi="Arial" w:cs="Arial"/>
          <w:sz w:val="20"/>
          <w:szCs w:val="20"/>
        </w:rPr>
      </w:pPr>
      <w:r w:rsidRPr="00BB0915">
        <w:rPr>
          <w:rFonts w:ascii="Arial" w:hAnsi="Arial" w:cs="Arial"/>
          <w:sz w:val="20"/>
          <w:szCs w:val="20"/>
        </w:rPr>
        <w:t>We would appreciate it if you added the following acknowledgment to any publications that use this data:</w:t>
      </w:r>
    </w:p>
    <w:p w:rsidR="00C921D0" w:rsidRPr="00BB0915" w:rsidRDefault="00C921D0" w:rsidP="00764D03">
      <w:pPr>
        <w:spacing w:after="0" w:line="312" w:lineRule="auto"/>
        <w:jc w:val="both"/>
        <w:rPr>
          <w:rFonts w:ascii="Arial" w:hAnsi="Arial" w:cs="Arial"/>
          <w:sz w:val="20"/>
          <w:szCs w:val="20"/>
        </w:rPr>
      </w:pPr>
    </w:p>
    <w:p w:rsidR="00C921D0" w:rsidRPr="00BB0915" w:rsidRDefault="00C921D0" w:rsidP="00764D03">
      <w:pPr>
        <w:spacing w:after="0" w:line="312" w:lineRule="auto"/>
        <w:jc w:val="both"/>
        <w:rPr>
          <w:rFonts w:ascii="Arial" w:hAnsi="Arial" w:cs="Arial"/>
          <w:sz w:val="20"/>
          <w:szCs w:val="20"/>
        </w:rPr>
      </w:pPr>
      <w:r w:rsidRPr="00BB0915">
        <w:rPr>
          <w:rFonts w:ascii="Arial" w:hAnsi="Arial" w:cs="Arial"/>
          <w:sz w:val="20"/>
          <w:szCs w:val="20"/>
        </w:rPr>
        <w:t>"The Tropical Cyclone Heat Potential (TCHP) is made freely available by the Atlantic Oceanographic and Meteorological Laboratory (www.aoml.noaa.gov/phod/cyclone) and has been funded by the NASA and NOAA at different stages of the project.  The sea surface height and temperature products incorporated in the TCHP are supplied by the CLS Space Oceanography Division, France (</w:t>
      </w:r>
      <w:r w:rsidRPr="00B06E4F">
        <w:rPr>
          <w:rFonts w:ascii="Arial" w:hAnsi="Arial" w:cs="Arial"/>
          <w:i/>
          <w:sz w:val="20"/>
          <w:szCs w:val="20"/>
        </w:rPr>
        <w:t>www.cls.fr</w:t>
      </w:r>
      <w:r w:rsidRPr="00BB0915">
        <w:rPr>
          <w:rFonts w:ascii="Arial" w:hAnsi="Arial" w:cs="Arial"/>
          <w:sz w:val="20"/>
          <w:szCs w:val="20"/>
        </w:rPr>
        <w:t>) and Remote Sensing, USA (</w:t>
      </w:r>
      <w:r w:rsidRPr="00B06E4F">
        <w:rPr>
          <w:rFonts w:ascii="Arial" w:hAnsi="Arial" w:cs="Arial"/>
          <w:i/>
          <w:sz w:val="20"/>
          <w:szCs w:val="20"/>
        </w:rPr>
        <w:t>www.remss.com/tmi/</w:t>
      </w:r>
      <w:r w:rsidRPr="00BB0915">
        <w:rPr>
          <w:rFonts w:ascii="Arial" w:hAnsi="Arial" w:cs="Arial"/>
          <w:sz w:val="20"/>
          <w:szCs w:val="20"/>
        </w:rPr>
        <w:t>) respectively."</w:t>
      </w:r>
    </w:p>
    <w:p w:rsidR="00C921D0" w:rsidRPr="00BB0915" w:rsidRDefault="00C921D0" w:rsidP="00764D03">
      <w:pPr>
        <w:spacing w:after="0" w:line="312" w:lineRule="auto"/>
        <w:jc w:val="both"/>
        <w:rPr>
          <w:rFonts w:ascii="Arial" w:hAnsi="Arial" w:cs="Arial"/>
          <w:sz w:val="20"/>
          <w:szCs w:val="20"/>
        </w:rPr>
      </w:pPr>
    </w:p>
    <w:p w:rsidR="00C921D0" w:rsidRPr="00BB0915" w:rsidRDefault="00C921D0" w:rsidP="00764D03">
      <w:pPr>
        <w:spacing w:after="0" w:line="312" w:lineRule="auto"/>
        <w:jc w:val="both"/>
        <w:rPr>
          <w:rFonts w:ascii="Arial" w:hAnsi="Arial" w:cs="Arial"/>
          <w:sz w:val="20"/>
          <w:szCs w:val="20"/>
        </w:rPr>
      </w:pPr>
      <w:r w:rsidRPr="00BB0915">
        <w:rPr>
          <w:rFonts w:ascii="Arial" w:hAnsi="Arial" w:cs="Arial"/>
          <w:sz w:val="20"/>
          <w:szCs w:val="20"/>
        </w:rPr>
        <w:t>The project scientists would also appreciate it if you informed us of any publications or presentations that you prepare using this data. Continued funding of this project depends on us being able to justify to NOAA the usefulness of this data.</w:t>
      </w:r>
    </w:p>
    <w:p w:rsidR="00C921D0" w:rsidRDefault="00C921D0" w:rsidP="00764D03">
      <w:pPr>
        <w:spacing w:after="0" w:line="312" w:lineRule="auto"/>
        <w:jc w:val="both"/>
        <w:rPr>
          <w:rFonts w:ascii="Arial" w:hAnsi="Arial" w:cs="Arial"/>
          <w:sz w:val="20"/>
          <w:szCs w:val="20"/>
        </w:rPr>
      </w:pPr>
    </w:p>
    <w:p w:rsidR="00243E10" w:rsidRPr="00BB0915" w:rsidRDefault="00243E10" w:rsidP="00764D03">
      <w:pPr>
        <w:spacing w:after="0" w:line="312" w:lineRule="auto"/>
        <w:jc w:val="both"/>
        <w:rPr>
          <w:rFonts w:ascii="Arial" w:hAnsi="Arial" w:cs="Arial"/>
          <w:b/>
          <w:sz w:val="20"/>
          <w:szCs w:val="20"/>
        </w:rPr>
      </w:pPr>
      <w:r w:rsidRPr="00BB0915">
        <w:rPr>
          <w:rFonts w:ascii="Arial" w:hAnsi="Arial" w:cs="Arial"/>
          <w:b/>
          <w:sz w:val="20"/>
          <w:szCs w:val="20"/>
        </w:rPr>
        <w:t>REFERENCES</w:t>
      </w:r>
    </w:p>
    <w:p w:rsidR="00243E10" w:rsidRPr="00BB0915" w:rsidRDefault="00243E10" w:rsidP="00764D03">
      <w:pPr>
        <w:spacing w:after="0" w:line="312" w:lineRule="auto"/>
        <w:jc w:val="both"/>
        <w:rPr>
          <w:rFonts w:ascii="Arial" w:hAnsi="Arial" w:cs="Arial"/>
          <w:sz w:val="20"/>
          <w:szCs w:val="20"/>
        </w:rPr>
      </w:pPr>
    </w:p>
    <w:p w:rsidR="00243E10" w:rsidRPr="00A72131" w:rsidRDefault="00243E10" w:rsidP="00764D03">
      <w:pPr>
        <w:spacing w:after="0" w:line="312" w:lineRule="auto"/>
        <w:jc w:val="both"/>
        <w:rPr>
          <w:rFonts w:ascii="Arial" w:hAnsi="Arial" w:cs="Arial"/>
          <w:sz w:val="18"/>
          <w:szCs w:val="18"/>
        </w:rPr>
      </w:pPr>
      <w:proofErr w:type="gramStart"/>
      <w:r w:rsidRPr="00A72131">
        <w:rPr>
          <w:rFonts w:ascii="Arial" w:hAnsi="Arial" w:cs="Arial"/>
          <w:sz w:val="18"/>
          <w:szCs w:val="18"/>
        </w:rPr>
        <w:t xml:space="preserve">Gilson, J., D. </w:t>
      </w:r>
      <w:proofErr w:type="spellStart"/>
      <w:r w:rsidRPr="00A72131">
        <w:rPr>
          <w:rFonts w:ascii="Arial" w:hAnsi="Arial" w:cs="Arial"/>
          <w:sz w:val="18"/>
          <w:szCs w:val="18"/>
        </w:rPr>
        <w:t>Roemmich</w:t>
      </w:r>
      <w:proofErr w:type="spellEnd"/>
      <w:r w:rsidRPr="00A72131">
        <w:rPr>
          <w:rFonts w:ascii="Arial" w:hAnsi="Arial" w:cs="Arial"/>
          <w:sz w:val="18"/>
          <w:szCs w:val="18"/>
        </w:rPr>
        <w:t xml:space="preserve">, B. </w:t>
      </w:r>
      <w:proofErr w:type="spellStart"/>
      <w:r w:rsidRPr="00A72131">
        <w:rPr>
          <w:rFonts w:ascii="Arial" w:hAnsi="Arial" w:cs="Arial"/>
          <w:sz w:val="18"/>
          <w:szCs w:val="18"/>
        </w:rPr>
        <w:t>Cornuelle</w:t>
      </w:r>
      <w:proofErr w:type="spellEnd"/>
      <w:r w:rsidRPr="00A72131">
        <w:rPr>
          <w:rFonts w:ascii="Arial" w:hAnsi="Arial" w:cs="Arial"/>
          <w:sz w:val="18"/>
          <w:szCs w:val="18"/>
        </w:rPr>
        <w:t>, and L.-L.</w:t>
      </w:r>
      <w:proofErr w:type="gramEnd"/>
      <w:r w:rsidRPr="00A72131">
        <w:rPr>
          <w:rFonts w:ascii="Arial" w:hAnsi="Arial" w:cs="Arial"/>
          <w:sz w:val="18"/>
          <w:szCs w:val="18"/>
        </w:rPr>
        <w:t xml:space="preserve"> </w:t>
      </w:r>
      <w:proofErr w:type="gramStart"/>
      <w:r w:rsidRPr="00A72131">
        <w:rPr>
          <w:rFonts w:ascii="Arial" w:hAnsi="Arial" w:cs="Arial"/>
          <w:sz w:val="18"/>
          <w:szCs w:val="18"/>
        </w:rPr>
        <w:t>Fu</w:t>
      </w:r>
      <w:r w:rsidR="00AA4FD8">
        <w:rPr>
          <w:rFonts w:ascii="Arial" w:hAnsi="Arial" w:cs="Arial"/>
          <w:sz w:val="18"/>
          <w:szCs w:val="18"/>
        </w:rPr>
        <w:t>.</w:t>
      </w:r>
      <w:proofErr w:type="gramEnd"/>
      <w:r w:rsidRPr="00A72131">
        <w:rPr>
          <w:rFonts w:ascii="Arial" w:hAnsi="Arial" w:cs="Arial"/>
          <w:sz w:val="18"/>
          <w:szCs w:val="18"/>
        </w:rPr>
        <w:t xml:space="preserve"> </w:t>
      </w:r>
      <w:proofErr w:type="gramStart"/>
      <w:r w:rsidRPr="00460935">
        <w:rPr>
          <w:rFonts w:ascii="Arial" w:hAnsi="Arial" w:cs="Arial"/>
          <w:i/>
          <w:sz w:val="18"/>
          <w:szCs w:val="18"/>
        </w:rPr>
        <w:t xml:space="preserve">Relationship of TOPEX/Poseidon </w:t>
      </w:r>
      <w:proofErr w:type="spellStart"/>
      <w:r w:rsidRPr="00460935">
        <w:rPr>
          <w:rFonts w:ascii="Arial" w:hAnsi="Arial" w:cs="Arial"/>
          <w:i/>
          <w:sz w:val="18"/>
          <w:szCs w:val="18"/>
        </w:rPr>
        <w:t>altimetric</w:t>
      </w:r>
      <w:proofErr w:type="spellEnd"/>
      <w:r w:rsidRPr="00460935">
        <w:rPr>
          <w:rFonts w:ascii="Arial" w:hAnsi="Arial" w:cs="Arial"/>
          <w:i/>
          <w:sz w:val="18"/>
          <w:szCs w:val="18"/>
        </w:rPr>
        <w:t xml:space="preserve"> height to </w:t>
      </w:r>
      <w:proofErr w:type="spellStart"/>
      <w:r w:rsidRPr="00460935">
        <w:rPr>
          <w:rFonts w:ascii="Arial" w:hAnsi="Arial" w:cs="Arial"/>
          <w:i/>
          <w:sz w:val="18"/>
          <w:szCs w:val="18"/>
        </w:rPr>
        <w:t>steric</w:t>
      </w:r>
      <w:proofErr w:type="spellEnd"/>
      <w:r w:rsidRPr="00460935">
        <w:rPr>
          <w:rFonts w:ascii="Arial" w:hAnsi="Arial" w:cs="Arial"/>
          <w:i/>
          <w:sz w:val="18"/>
          <w:szCs w:val="18"/>
        </w:rPr>
        <w:t xml:space="preserve"> height and circulation of the North Pacific</w:t>
      </w:r>
      <w:r w:rsidR="00AA4FD8">
        <w:rPr>
          <w:rFonts w:ascii="Arial" w:hAnsi="Arial" w:cs="Arial"/>
          <w:i/>
          <w:sz w:val="18"/>
          <w:szCs w:val="18"/>
        </w:rPr>
        <w:t>.</w:t>
      </w:r>
      <w:proofErr w:type="gramEnd"/>
      <w:r w:rsidRPr="00A72131">
        <w:rPr>
          <w:rFonts w:ascii="Arial" w:hAnsi="Arial" w:cs="Arial"/>
          <w:sz w:val="18"/>
          <w:szCs w:val="18"/>
        </w:rPr>
        <w:t xml:space="preserve"> </w:t>
      </w:r>
      <w:proofErr w:type="gramStart"/>
      <w:r w:rsidRPr="00A72131">
        <w:rPr>
          <w:rFonts w:ascii="Arial" w:hAnsi="Arial" w:cs="Arial"/>
          <w:sz w:val="18"/>
          <w:szCs w:val="18"/>
        </w:rPr>
        <w:t xml:space="preserve">J. </w:t>
      </w:r>
      <w:proofErr w:type="spellStart"/>
      <w:r w:rsidRPr="00A72131">
        <w:rPr>
          <w:rFonts w:ascii="Arial" w:hAnsi="Arial" w:cs="Arial"/>
          <w:sz w:val="18"/>
          <w:szCs w:val="18"/>
        </w:rPr>
        <w:t>Geophys</w:t>
      </w:r>
      <w:proofErr w:type="spellEnd"/>
      <w:r w:rsidRPr="00A72131">
        <w:rPr>
          <w:rFonts w:ascii="Arial" w:hAnsi="Arial" w:cs="Arial"/>
          <w:sz w:val="18"/>
          <w:szCs w:val="18"/>
        </w:rPr>
        <w:t>.</w:t>
      </w:r>
      <w:proofErr w:type="gramEnd"/>
      <w:r w:rsidRPr="00A72131">
        <w:rPr>
          <w:rFonts w:ascii="Arial" w:hAnsi="Arial" w:cs="Arial"/>
          <w:sz w:val="18"/>
          <w:szCs w:val="18"/>
        </w:rPr>
        <w:t xml:space="preserve"> Res., 103 (27)</w:t>
      </w:r>
      <w:proofErr w:type="gramStart"/>
      <w:r w:rsidRPr="00A72131">
        <w:rPr>
          <w:rFonts w:ascii="Arial" w:hAnsi="Arial" w:cs="Arial"/>
          <w:sz w:val="18"/>
          <w:szCs w:val="18"/>
        </w:rPr>
        <w:t>,947.27,965</w:t>
      </w:r>
      <w:proofErr w:type="gramEnd"/>
      <w:r w:rsidRPr="00A72131">
        <w:rPr>
          <w:rFonts w:ascii="Arial" w:hAnsi="Arial" w:cs="Arial"/>
          <w:sz w:val="18"/>
          <w:szCs w:val="18"/>
        </w:rPr>
        <w:t xml:space="preserve"> </w:t>
      </w:r>
      <w:r w:rsidR="0092316E">
        <w:rPr>
          <w:rFonts w:ascii="Arial" w:hAnsi="Arial" w:cs="Arial"/>
          <w:sz w:val="18"/>
          <w:szCs w:val="18"/>
        </w:rPr>
        <w:t>(</w:t>
      </w:r>
      <w:r w:rsidRPr="00A72131">
        <w:rPr>
          <w:rFonts w:ascii="Arial" w:hAnsi="Arial" w:cs="Arial"/>
          <w:sz w:val="18"/>
          <w:szCs w:val="18"/>
        </w:rPr>
        <w:t>1998</w:t>
      </w:r>
      <w:r w:rsidR="0092316E">
        <w:rPr>
          <w:rFonts w:ascii="Arial" w:hAnsi="Arial" w:cs="Arial"/>
          <w:sz w:val="18"/>
          <w:szCs w:val="18"/>
        </w:rPr>
        <w:t>)</w:t>
      </w:r>
      <w:r w:rsidRPr="00A72131">
        <w:rPr>
          <w:rFonts w:ascii="Arial" w:hAnsi="Arial" w:cs="Arial"/>
          <w:sz w:val="18"/>
          <w:szCs w:val="18"/>
        </w:rPr>
        <w:t>.</w:t>
      </w:r>
    </w:p>
    <w:p w:rsidR="00243E10" w:rsidRPr="00A72131" w:rsidRDefault="00243E10" w:rsidP="00764D03">
      <w:pPr>
        <w:spacing w:after="0" w:line="312" w:lineRule="auto"/>
        <w:jc w:val="both"/>
        <w:rPr>
          <w:rFonts w:ascii="Arial" w:hAnsi="Arial" w:cs="Arial"/>
          <w:sz w:val="18"/>
          <w:szCs w:val="18"/>
        </w:rPr>
      </w:pPr>
    </w:p>
    <w:p w:rsidR="00243E10" w:rsidRPr="00A72131" w:rsidRDefault="00243E10" w:rsidP="00764D03">
      <w:pPr>
        <w:spacing w:after="0" w:line="312" w:lineRule="auto"/>
        <w:jc w:val="both"/>
        <w:rPr>
          <w:rFonts w:ascii="Arial" w:hAnsi="Arial" w:cs="Arial"/>
          <w:sz w:val="18"/>
          <w:szCs w:val="18"/>
        </w:rPr>
      </w:pPr>
      <w:proofErr w:type="spellStart"/>
      <w:proofErr w:type="gramStart"/>
      <w:r w:rsidRPr="00A72131">
        <w:rPr>
          <w:rFonts w:ascii="Arial" w:hAnsi="Arial" w:cs="Arial"/>
          <w:sz w:val="18"/>
          <w:szCs w:val="18"/>
        </w:rPr>
        <w:t>Goni</w:t>
      </w:r>
      <w:proofErr w:type="spellEnd"/>
      <w:r w:rsidRPr="00A72131">
        <w:rPr>
          <w:rFonts w:ascii="Arial" w:hAnsi="Arial" w:cs="Arial"/>
          <w:sz w:val="18"/>
          <w:szCs w:val="18"/>
        </w:rPr>
        <w:t xml:space="preserve">, G., S. </w:t>
      </w:r>
      <w:proofErr w:type="spellStart"/>
      <w:r w:rsidRPr="00A72131">
        <w:rPr>
          <w:rFonts w:ascii="Arial" w:hAnsi="Arial" w:cs="Arial"/>
          <w:sz w:val="18"/>
          <w:szCs w:val="18"/>
        </w:rPr>
        <w:t>Kamholz</w:t>
      </w:r>
      <w:proofErr w:type="spellEnd"/>
      <w:r w:rsidRPr="00A72131">
        <w:rPr>
          <w:rFonts w:ascii="Arial" w:hAnsi="Arial" w:cs="Arial"/>
          <w:sz w:val="18"/>
          <w:szCs w:val="18"/>
        </w:rPr>
        <w:t xml:space="preserve">, S. </w:t>
      </w:r>
      <w:proofErr w:type="spellStart"/>
      <w:r w:rsidRPr="00A72131">
        <w:rPr>
          <w:rFonts w:ascii="Arial" w:hAnsi="Arial" w:cs="Arial"/>
          <w:sz w:val="18"/>
          <w:szCs w:val="18"/>
        </w:rPr>
        <w:t>Garzoli</w:t>
      </w:r>
      <w:proofErr w:type="spellEnd"/>
      <w:r w:rsidRPr="00A72131">
        <w:rPr>
          <w:rFonts w:ascii="Arial" w:hAnsi="Arial" w:cs="Arial"/>
          <w:sz w:val="18"/>
          <w:szCs w:val="18"/>
        </w:rPr>
        <w:t>, and D. Olson</w:t>
      </w:r>
      <w:r w:rsidR="00AA4FD8">
        <w:rPr>
          <w:rFonts w:ascii="Arial" w:hAnsi="Arial" w:cs="Arial"/>
          <w:sz w:val="18"/>
          <w:szCs w:val="18"/>
        </w:rPr>
        <w:t>.</w:t>
      </w:r>
      <w:proofErr w:type="gramEnd"/>
      <w:r w:rsidRPr="00A72131">
        <w:rPr>
          <w:rFonts w:ascii="Arial" w:hAnsi="Arial" w:cs="Arial"/>
          <w:sz w:val="18"/>
          <w:szCs w:val="18"/>
        </w:rPr>
        <w:t xml:space="preserve"> </w:t>
      </w:r>
      <w:r w:rsidRPr="00460935">
        <w:rPr>
          <w:rFonts w:ascii="Arial" w:hAnsi="Arial" w:cs="Arial"/>
          <w:i/>
          <w:sz w:val="18"/>
          <w:szCs w:val="18"/>
        </w:rPr>
        <w:t>Dynamics of the Brazil-Malvinas Confluence based on inverted echo sounders and altimetry</w:t>
      </w:r>
      <w:r w:rsidR="00AA4FD8">
        <w:rPr>
          <w:rFonts w:ascii="Arial" w:hAnsi="Arial" w:cs="Arial"/>
          <w:i/>
          <w:sz w:val="18"/>
          <w:szCs w:val="18"/>
        </w:rPr>
        <w:t>.</w:t>
      </w:r>
      <w:r w:rsidRPr="00A72131">
        <w:rPr>
          <w:rFonts w:ascii="Arial" w:hAnsi="Arial" w:cs="Arial"/>
          <w:sz w:val="18"/>
          <w:szCs w:val="18"/>
        </w:rPr>
        <w:t xml:space="preserve"> </w:t>
      </w:r>
      <w:proofErr w:type="gramStart"/>
      <w:r w:rsidRPr="00A72131">
        <w:rPr>
          <w:rFonts w:ascii="Arial" w:hAnsi="Arial" w:cs="Arial"/>
          <w:sz w:val="18"/>
          <w:szCs w:val="18"/>
        </w:rPr>
        <w:t xml:space="preserve">J. </w:t>
      </w:r>
      <w:proofErr w:type="spellStart"/>
      <w:r w:rsidRPr="00A72131">
        <w:rPr>
          <w:rFonts w:ascii="Arial" w:hAnsi="Arial" w:cs="Arial"/>
          <w:sz w:val="18"/>
          <w:szCs w:val="18"/>
        </w:rPr>
        <w:t>Geophys</w:t>
      </w:r>
      <w:proofErr w:type="spellEnd"/>
      <w:r w:rsidRPr="00A72131">
        <w:rPr>
          <w:rFonts w:ascii="Arial" w:hAnsi="Arial" w:cs="Arial"/>
          <w:sz w:val="18"/>
          <w:szCs w:val="18"/>
        </w:rPr>
        <w:t>.</w:t>
      </w:r>
      <w:proofErr w:type="gramEnd"/>
      <w:r w:rsidRPr="00A72131">
        <w:rPr>
          <w:rFonts w:ascii="Arial" w:hAnsi="Arial" w:cs="Arial"/>
          <w:sz w:val="18"/>
          <w:szCs w:val="18"/>
        </w:rPr>
        <w:t xml:space="preserve"> </w:t>
      </w:r>
      <w:proofErr w:type="gramStart"/>
      <w:r w:rsidRPr="00A72131">
        <w:rPr>
          <w:rFonts w:ascii="Arial" w:hAnsi="Arial" w:cs="Arial"/>
          <w:sz w:val="18"/>
          <w:szCs w:val="18"/>
        </w:rPr>
        <w:t>Res., 101(C7), 16,273.16,289</w:t>
      </w:r>
      <w:r w:rsidR="0092316E">
        <w:rPr>
          <w:rFonts w:ascii="Arial" w:hAnsi="Arial" w:cs="Arial"/>
          <w:sz w:val="18"/>
          <w:szCs w:val="18"/>
        </w:rPr>
        <w:t xml:space="preserve"> (</w:t>
      </w:r>
      <w:r w:rsidRPr="00A72131">
        <w:rPr>
          <w:rFonts w:ascii="Arial" w:hAnsi="Arial" w:cs="Arial"/>
          <w:sz w:val="18"/>
          <w:szCs w:val="18"/>
        </w:rPr>
        <w:t>1996</w:t>
      </w:r>
      <w:r w:rsidR="0092316E">
        <w:rPr>
          <w:rFonts w:ascii="Arial" w:hAnsi="Arial" w:cs="Arial"/>
          <w:sz w:val="18"/>
          <w:szCs w:val="18"/>
        </w:rPr>
        <w:t>)</w:t>
      </w:r>
      <w:r w:rsidRPr="00A72131">
        <w:rPr>
          <w:rFonts w:ascii="Arial" w:hAnsi="Arial" w:cs="Arial"/>
          <w:sz w:val="18"/>
          <w:szCs w:val="18"/>
        </w:rPr>
        <w:t>.</w:t>
      </w:r>
      <w:proofErr w:type="gramEnd"/>
    </w:p>
    <w:p w:rsidR="00243E10" w:rsidRPr="00A72131" w:rsidRDefault="00243E10" w:rsidP="00764D03">
      <w:pPr>
        <w:spacing w:after="0" w:line="312" w:lineRule="auto"/>
        <w:jc w:val="both"/>
        <w:rPr>
          <w:rFonts w:ascii="Arial" w:hAnsi="Arial" w:cs="Arial"/>
          <w:sz w:val="18"/>
          <w:szCs w:val="18"/>
        </w:rPr>
      </w:pPr>
    </w:p>
    <w:p w:rsidR="00243E10" w:rsidRPr="00A72131" w:rsidRDefault="00243E10" w:rsidP="00764D03">
      <w:pPr>
        <w:spacing w:after="0" w:line="312" w:lineRule="auto"/>
        <w:jc w:val="both"/>
        <w:rPr>
          <w:rFonts w:ascii="Arial" w:hAnsi="Arial" w:cs="Arial"/>
          <w:sz w:val="18"/>
          <w:szCs w:val="18"/>
        </w:rPr>
      </w:pPr>
      <w:proofErr w:type="spellStart"/>
      <w:proofErr w:type="gramStart"/>
      <w:r w:rsidRPr="00A72131">
        <w:rPr>
          <w:rFonts w:ascii="Arial" w:hAnsi="Arial" w:cs="Arial"/>
          <w:sz w:val="18"/>
          <w:szCs w:val="18"/>
        </w:rPr>
        <w:t>Goni</w:t>
      </w:r>
      <w:proofErr w:type="spellEnd"/>
      <w:r w:rsidRPr="00A72131">
        <w:rPr>
          <w:rFonts w:ascii="Arial" w:hAnsi="Arial" w:cs="Arial"/>
          <w:sz w:val="18"/>
          <w:szCs w:val="18"/>
        </w:rPr>
        <w:t xml:space="preserve">, G. J., S. L. </w:t>
      </w:r>
      <w:proofErr w:type="spellStart"/>
      <w:r w:rsidRPr="00A72131">
        <w:rPr>
          <w:rFonts w:ascii="Arial" w:hAnsi="Arial" w:cs="Arial"/>
          <w:sz w:val="18"/>
          <w:szCs w:val="18"/>
        </w:rPr>
        <w:t>Garzoli</w:t>
      </w:r>
      <w:proofErr w:type="spellEnd"/>
      <w:r w:rsidRPr="00A72131">
        <w:rPr>
          <w:rFonts w:ascii="Arial" w:hAnsi="Arial" w:cs="Arial"/>
          <w:sz w:val="18"/>
          <w:szCs w:val="18"/>
        </w:rPr>
        <w:t xml:space="preserve">, A. J. </w:t>
      </w:r>
      <w:proofErr w:type="spellStart"/>
      <w:r w:rsidRPr="00A72131">
        <w:rPr>
          <w:rFonts w:ascii="Arial" w:hAnsi="Arial" w:cs="Arial"/>
          <w:sz w:val="18"/>
          <w:szCs w:val="18"/>
        </w:rPr>
        <w:t>Roubicek</w:t>
      </w:r>
      <w:proofErr w:type="spellEnd"/>
      <w:r w:rsidRPr="00A72131">
        <w:rPr>
          <w:rFonts w:ascii="Arial" w:hAnsi="Arial" w:cs="Arial"/>
          <w:sz w:val="18"/>
          <w:szCs w:val="18"/>
        </w:rPr>
        <w:t>, D. B. Olson and O. B. Brown</w:t>
      </w:r>
      <w:r w:rsidR="00AA4FD8">
        <w:rPr>
          <w:rFonts w:ascii="Arial" w:hAnsi="Arial" w:cs="Arial"/>
          <w:sz w:val="18"/>
          <w:szCs w:val="18"/>
        </w:rPr>
        <w:t>.</w:t>
      </w:r>
      <w:proofErr w:type="gramEnd"/>
      <w:r w:rsidRPr="00A72131">
        <w:rPr>
          <w:rFonts w:ascii="Arial" w:hAnsi="Arial" w:cs="Arial"/>
          <w:sz w:val="18"/>
          <w:szCs w:val="18"/>
        </w:rPr>
        <w:t xml:space="preserve"> </w:t>
      </w:r>
      <w:r w:rsidRPr="00460935">
        <w:rPr>
          <w:rFonts w:ascii="Arial" w:hAnsi="Arial" w:cs="Arial"/>
          <w:i/>
          <w:sz w:val="18"/>
          <w:szCs w:val="18"/>
        </w:rPr>
        <w:t>Agulhas ring dynamics from TOPEX/POSEIDON satellite altimeter data</w:t>
      </w:r>
      <w:r w:rsidR="00AA4FD8">
        <w:rPr>
          <w:rFonts w:ascii="Arial" w:hAnsi="Arial" w:cs="Arial"/>
          <w:i/>
          <w:sz w:val="18"/>
          <w:szCs w:val="18"/>
        </w:rPr>
        <w:t>.</w:t>
      </w:r>
      <w:r w:rsidRPr="00A72131">
        <w:rPr>
          <w:rFonts w:ascii="Arial" w:hAnsi="Arial" w:cs="Arial"/>
          <w:sz w:val="18"/>
          <w:szCs w:val="18"/>
        </w:rPr>
        <w:t xml:space="preserve"> </w:t>
      </w:r>
      <w:proofErr w:type="spellStart"/>
      <w:proofErr w:type="gramStart"/>
      <w:r w:rsidRPr="00A72131">
        <w:rPr>
          <w:rFonts w:ascii="Arial" w:hAnsi="Arial" w:cs="Arial"/>
          <w:sz w:val="18"/>
          <w:szCs w:val="18"/>
        </w:rPr>
        <w:t>J.Mar</w:t>
      </w:r>
      <w:proofErr w:type="spellEnd"/>
      <w:r w:rsidRPr="00A72131">
        <w:rPr>
          <w:rFonts w:ascii="Arial" w:hAnsi="Arial" w:cs="Arial"/>
          <w:sz w:val="18"/>
          <w:szCs w:val="18"/>
        </w:rPr>
        <w:t>.</w:t>
      </w:r>
      <w:proofErr w:type="gramEnd"/>
      <w:r w:rsidRPr="00A72131">
        <w:rPr>
          <w:rFonts w:ascii="Arial" w:hAnsi="Arial" w:cs="Arial"/>
          <w:sz w:val="18"/>
          <w:szCs w:val="18"/>
        </w:rPr>
        <w:t xml:space="preserve"> </w:t>
      </w:r>
      <w:proofErr w:type="gramStart"/>
      <w:r w:rsidRPr="00A72131">
        <w:rPr>
          <w:rFonts w:ascii="Arial" w:hAnsi="Arial" w:cs="Arial"/>
          <w:sz w:val="18"/>
          <w:szCs w:val="18"/>
        </w:rPr>
        <w:t xml:space="preserve">Res., 55, 861-883 </w:t>
      </w:r>
      <w:r w:rsidR="0092316E">
        <w:rPr>
          <w:rFonts w:ascii="Arial" w:hAnsi="Arial" w:cs="Arial"/>
          <w:sz w:val="18"/>
          <w:szCs w:val="18"/>
        </w:rPr>
        <w:t>(</w:t>
      </w:r>
      <w:r w:rsidRPr="00A72131">
        <w:rPr>
          <w:rFonts w:ascii="Arial" w:hAnsi="Arial" w:cs="Arial"/>
          <w:sz w:val="18"/>
          <w:szCs w:val="18"/>
        </w:rPr>
        <w:t>1997</w:t>
      </w:r>
      <w:r w:rsidR="0092316E">
        <w:rPr>
          <w:rFonts w:ascii="Arial" w:hAnsi="Arial" w:cs="Arial"/>
          <w:sz w:val="18"/>
          <w:szCs w:val="18"/>
        </w:rPr>
        <w:t>)</w:t>
      </w:r>
      <w:r w:rsidRPr="00A72131">
        <w:rPr>
          <w:rFonts w:ascii="Arial" w:hAnsi="Arial" w:cs="Arial"/>
          <w:sz w:val="18"/>
          <w:szCs w:val="18"/>
        </w:rPr>
        <w:t>.</w:t>
      </w:r>
      <w:proofErr w:type="gramEnd"/>
    </w:p>
    <w:p w:rsidR="00243E10" w:rsidRPr="00A72131" w:rsidRDefault="00243E10" w:rsidP="00764D03">
      <w:pPr>
        <w:spacing w:after="0" w:line="312" w:lineRule="auto"/>
        <w:jc w:val="both"/>
        <w:rPr>
          <w:rFonts w:ascii="Arial" w:hAnsi="Arial" w:cs="Arial"/>
          <w:sz w:val="18"/>
          <w:szCs w:val="18"/>
        </w:rPr>
      </w:pPr>
    </w:p>
    <w:p w:rsidR="00243E10" w:rsidRPr="00A72131" w:rsidRDefault="00243E10" w:rsidP="00764D03">
      <w:pPr>
        <w:spacing w:after="0" w:line="312" w:lineRule="auto"/>
        <w:jc w:val="both"/>
        <w:rPr>
          <w:rFonts w:ascii="Arial" w:hAnsi="Arial" w:cs="Arial"/>
          <w:sz w:val="18"/>
          <w:szCs w:val="18"/>
        </w:rPr>
      </w:pPr>
      <w:proofErr w:type="spellStart"/>
      <w:proofErr w:type="gramStart"/>
      <w:r w:rsidRPr="00A72131">
        <w:rPr>
          <w:rFonts w:ascii="Arial" w:hAnsi="Arial" w:cs="Arial"/>
          <w:sz w:val="18"/>
          <w:szCs w:val="18"/>
        </w:rPr>
        <w:t>Leipper</w:t>
      </w:r>
      <w:proofErr w:type="spellEnd"/>
      <w:r w:rsidRPr="00A72131">
        <w:rPr>
          <w:rFonts w:ascii="Arial" w:hAnsi="Arial" w:cs="Arial"/>
          <w:sz w:val="18"/>
          <w:szCs w:val="18"/>
        </w:rPr>
        <w:t xml:space="preserve">, D. and D. </w:t>
      </w:r>
      <w:proofErr w:type="spellStart"/>
      <w:r w:rsidRPr="00A72131">
        <w:rPr>
          <w:rFonts w:ascii="Arial" w:hAnsi="Arial" w:cs="Arial"/>
          <w:sz w:val="18"/>
          <w:szCs w:val="18"/>
        </w:rPr>
        <w:t>Volgenau</w:t>
      </w:r>
      <w:proofErr w:type="spellEnd"/>
      <w:r w:rsidRPr="00A72131">
        <w:rPr>
          <w:rFonts w:ascii="Arial" w:hAnsi="Arial" w:cs="Arial"/>
          <w:sz w:val="18"/>
          <w:szCs w:val="18"/>
        </w:rPr>
        <w:t>.</w:t>
      </w:r>
      <w:proofErr w:type="gramEnd"/>
      <w:r w:rsidRPr="00A72131">
        <w:rPr>
          <w:rFonts w:ascii="Arial" w:hAnsi="Arial" w:cs="Arial"/>
          <w:sz w:val="18"/>
          <w:szCs w:val="18"/>
        </w:rPr>
        <w:t xml:space="preserve"> </w:t>
      </w:r>
      <w:proofErr w:type="gramStart"/>
      <w:r w:rsidRPr="00460935">
        <w:rPr>
          <w:rFonts w:ascii="Arial" w:hAnsi="Arial" w:cs="Arial"/>
          <w:i/>
          <w:sz w:val="18"/>
          <w:szCs w:val="18"/>
        </w:rPr>
        <w:t>Hurricane heat potential of the Gulf of Mexico</w:t>
      </w:r>
      <w:r w:rsidR="00AA4FD8">
        <w:rPr>
          <w:rFonts w:ascii="Arial" w:hAnsi="Arial" w:cs="Arial"/>
          <w:i/>
          <w:sz w:val="18"/>
          <w:szCs w:val="18"/>
        </w:rPr>
        <w:t>.</w:t>
      </w:r>
      <w:proofErr w:type="gramEnd"/>
      <w:r w:rsidRPr="00A72131">
        <w:rPr>
          <w:rFonts w:ascii="Arial" w:hAnsi="Arial" w:cs="Arial"/>
          <w:sz w:val="18"/>
          <w:szCs w:val="18"/>
        </w:rPr>
        <w:t xml:space="preserve"> J. Phys. </w:t>
      </w:r>
      <w:proofErr w:type="spellStart"/>
      <w:r w:rsidRPr="00A72131">
        <w:rPr>
          <w:rFonts w:ascii="Arial" w:hAnsi="Arial" w:cs="Arial"/>
          <w:sz w:val="18"/>
          <w:szCs w:val="18"/>
        </w:rPr>
        <w:t>Oceanogr</w:t>
      </w:r>
      <w:proofErr w:type="spellEnd"/>
      <w:r w:rsidRPr="00A72131">
        <w:rPr>
          <w:rFonts w:ascii="Arial" w:hAnsi="Arial" w:cs="Arial"/>
          <w:sz w:val="18"/>
          <w:szCs w:val="18"/>
        </w:rPr>
        <w:t xml:space="preserve">., 2, 218-224 </w:t>
      </w:r>
      <w:r w:rsidR="0092316E">
        <w:rPr>
          <w:rFonts w:ascii="Arial" w:hAnsi="Arial" w:cs="Arial"/>
          <w:sz w:val="18"/>
          <w:szCs w:val="18"/>
        </w:rPr>
        <w:t>(</w:t>
      </w:r>
      <w:r w:rsidRPr="00A72131">
        <w:rPr>
          <w:rFonts w:ascii="Arial" w:hAnsi="Arial" w:cs="Arial"/>
          <w:sz w:val="18"/>
          <w:szCs w:val="18"/>
        </w:rPr>
        <w:t>1972</w:t>
      </w:r>
      <w:r w:rsidR="0092316E">
        <w:rPr>
          <w:rFonts w:ascii="Arial" w:hAnsi="Arial" w:cs="Arial"/>
          <w:sz w:val="18"/>
          <w:szCs w:val="18"/>
        </w:rPr>
        <w:t>)</w:t>
      </w:r>
      <w:r w:rsidRPr="00A72131">
        <w:rPr>
          <w:rFonts w:ascii="Arial" w:hAnsi="Arial" w:cs="Arial"/>
          <w:sz w:val="18"/>
          <w:szCs w:val="18"/>
        </w:rPr>
        <w:t>.</w:t>
      </w:r>
    </w:p>
    <w:p w:rsidR="00243E10" w:rsidRPr="00A72131" w:rsidRDefault="00243E10" w:rsidP="00764D03">
      <w:pPr>
        <w:spacing w:after="0" w:line="312" w:lineRule="auto"/>
        <w:jc w:val="both"/>
        <w:rPr>
          <w:rFonts w:ascii="Arial" w:hAnsi="Arial" w:cs="Arial"/>
          <w:sz w:val="18"/>
          <w:szCs w:val="18"/>
        </w:rPr>
      </w:pPr>
    </w:p>
    <w:p w:rsidR="0092316E" w:rsidRDefault="00243E10" w:rsidP="00764D03">
      <w:pPr>
        <w:spacing w:after="0" w:line="312" w:lineRule="auto"/>
        <w:jc w:val="both"/>
        <w:rPr>
          <w:rFonts w:ascii="Arial" w:hAnsi="Arial" w:cs="Arial"/>
          <w:sz w:val="18"/>
          <w:szCs w:val="18"/>
        </w:rPr>
      </w:pPr>
      <w:proofErr w:type="spellStart"/>
      <w:proofErr w:type="gramStart"/>
      <w:r w:rsidRPr="00A72131">
        <w:rPr>
          <w:rFonts w:ascii="Arial" w:hAnsi="Arial" w:cs="Arial"/>
          <w:sz w:val="18"/>
          <w:szCs w:val="18"/>
        </w:rPr>
        <w:t>Mainelli</w:t>
      </w:r>
      <w:proofErr w:type="spellEnd"/>
      <w:r w:rsidRPr="00A72131">
        <w:rPr>
          <w:rFonts w:ascii="Arial" w:hAnsi="Arial" w:cs="Arial"/>
          <w:sz w:val="18"/>
          <w:szCs w:val="18"/>
        </w:rPr>
        <w:t xml:space="preserve"> M., M. </w:t>
      </w:r>
      <w:proofErr w:type="spellStart"/>
      <w:r w:rsidRPr="00A72131">
        <w:rPr>
          <w:rFonts w:ascii="Arial" w:hAnsi="Arial" w:cs="Arial"/>
          <w:sz w:val="18"/>
          <w:szCs w:val="18"/>
        </w:rPr>
        <w:t>DeMaria</w:t>
      </w:r>
      <w:proofErr w:type="spellEnd"/>
      <w:r w:rsidRPr="00A72131">
        <w:rPr>
          <w:rFonts w:ascii="Arial" w:hAnsi="Arial" w:cs="Arial"/>
          <w:sz w:val="18"/>
          <w:szCs w:val="18"/>
        </w:rPr>
        <w:t xml:space="preserve">, L. Shay, and G. </w:t>
      </w:r>
      <w:proofErr w:type="spellStart"/>
      <w:r w:rsidRPr="00A72131">
        <w:rPr>
          <w:rFonts w:ascii="Arial" w:hAnsi="Arial" w:cs="Arial"/>
          <w:sz w:val="18"/>
          <w:szCs w:val="18"/>
        </w:rPr>
        <w:t>Goni</w:t>
      </w:r>
      <w:proofErr w:type="spellEnd"/>
      <w:r w:rsidR="00AA4FD8">
        <w:rPr>
          <w:rFonts w:ascii="Arial" w:hAnsi="Arial" w:cs="Arial"/>
          <w:sz w:val="18"/>
          <w:szCs w:val="18"/>
        </w:rPr>
        <w:t>.</w:t>
      </w:r>
      <w:proofErr w:type="gramEnd"/>
      <w:r w:rsidRPr="00A72131">
        <w:rPr>
          <w:rFonts w:ascii="Arial" w:hAnsi="Arial" w:cs="Arial"/>
          <w:sz w:val="18"/>
          <w:szCs w:val="18"/>
        </w:rPr>
        <w:t xml:space="preserve"> </w:t>
      </w:r>
      <w:proofErr w:type="gramStart"/>
      <w:r w:rsidRPr="00460935">
        <w:rPr>
          <w:rFonts w:ascii="Arial" w:hAnsi="Arial" w:cs="Arial"/>
          <w:i/>
          <w:sz w:val="18"/>
          <w:szCs w:val="18"/>
        </w:rPr>
        <w:t>Application of Oceanic Heat Content Estimation to Operational Forecasting of Recent Atlantic Category 5 Hurricanes</w:t>
      </w:r>
      <w:r w:rsidRPr="00A72131">
        <w:rPr>
          <w:rFonts w:ascii="Arial" w:hAnsi="Arial" w:cs="Arial"/>
          <w:sz w:val="18"/>
          <w:szCs w:val="18"/>
        </w:rPr>
        <w:t>, Weather Forecast.</w:t>
      </w:r>
      <w:r w:rsidR="0092316E" w:rsidRPr="0092316E">
        <w:rPr>
          <w:rFonts w:ascii="Arial" w:hAnsi="Arial" w:cs="Arial"/>
          <w:sz w:val="18"/>
          <w:szCs w:val="18"/>
        </w:rPr>
        <w:t>23</w:t>
      </w:r>
      <w:r w:rsidR="0092316E">
        <w:rPr>
          <w:rFonts w:ascii="Arial" w:hAnsi="Arial" w:cs="Arial"/>
          <w:sz w:val="18"/>
          <w:szCs w:val="18"/>
        </w:rPr>
        <w:t xml:space="preserve"> (1) </w:t>
      </w:r>
      <w:r w:rsidR="0092316E" w:rsidRPr="0092316E">
        <w:rPr>
          <w:rFonts w:ascii="Arial" w:hAnsi="Arial" w:cs="Arial"/>
          <w:sz w:val="18"/>
          <w:szCs w:val="18"/>
        </w:rPr>
        <w:t>3</w:t>
      </w:r>
      <w:r w:rsidR="0092316E">
        <w:rPr>
          <w:rFonts w:ascii="Arial" w:hAnsi="Arial" w:cs="Arial"/>
          <w:sz w:val="18"/>
          <w:szCs w:val="18"/>
        </w:rPr>
        <w:t>-16 (2008).</w:t>
      </w:r>
      <w:proofErr w:type="gramEnd"/>
    </w:p>
    <w:p w:rsidR="00243E10" w:rsidRPr="00A72131" w:rsidRDefault="00243E10" w:rsidP="00764D03">
      <w:pPr>
        <w:spacing w:after="0" w:line="312" w:lineRule="auto"/>
        <w:jc w:val="both"/>
        <w:rPr>
          <w:rFonts w:ascii="Arial" w:hAnsi="Arial" w:cs="Arial"/>
          <w:sz w:val="18"/>
          <w:szCs w:val="18"/>
        </w:rPr>
      </w:pPr>
    </w:p>
    <w:p w:rsidR="00243E10" w:rsidRPr="00A72131" w:rsidRDefault="00243E10" w:rsidP="00764D03">
      <w:pPr>
        <w:spacing w:after="0" w:line="312" w:lineRule="auto"/>
        <w:jc w:val="both"/>
        <w:rPr>
          <w:rFonts w:ascii="Arial" w:hAnsi="Arial" w:cs="Arial"/>
          <w:sz w:val="18"/>
          <w:szCs w:val="18"/>
        </w:rPr>
      </w:pPr>
      <w:proofErr w:type="gramStart"/>
      <w:r w:rsidRPr="00A72131">
        <w:rPr>
          <w:rFonts w:ascii="Arial" w:hAnsi="Arial" w:cs="Arial"/>
          <w:sz w:val="18"/>
          <w:szCs w:val="18"/>
        </w:rPr>
        <w:t xml:space="preserve">Shay L. K., G. J. </w:t>
      </w:r>
      <w:proofErr w:type="spellStart"/>
      <w:r w:rsidRPr="00A72131">
        <w:rPr>
          <w:rFonts w:ascii="Arial" w:hAnsi="Arial" w:cs="Arial"/>
          <w:sz w:val="18"/>
          <w:szCs w:val="18"/>
        </w:rPr>
        <w:t>Goni</w:t>
      </w:r>
      <w:proofErr w:type="spellEnd"/>
      <w:r w:rsidRPr="00A72131">
        <w:rPr>
          <w:rFonts w:ascii="Arial" w:hAnsi="Arial" w:cs="Arial"/>
          <w:sz w:val="18"/>
          <w:szCs w:val="18"/>
        </w:rPr>
        <w:t xml:space="preserve"> and P. G. Black.</w:t>
      </w:r>
      <w:proofErr w:type="gramEnd"/>
      <w:r w:rsidRPr="00A72131">
        <w:rPr>
          <w:rFonts w:ascii="Arial" w:hAnsi="Arial" w:cs="Arial"/>
          <w:sz w:val="18"/>
          <w:szCs w:val="18"/>
        </w:rPr>
        <w:t xml:space="preserve"> </w:t>
      </w:r>
      <w:r w:rsidRPr="00460935">
        <w:rPr>
          <w:rFonts w:ascii="Arial" w:hAnsi="Arial" w:cs="Arial"/>
          <w:i/>
          <w:sz w:val="18"/>
          <w:szCs w:val="18"/>
        </w:rPr>
        <w:t>Effect of a warm ocean ring on hurricane Opal</w:t>
      </w:r>
      <w:r w:rsidRPr="00A72131">
        <w:rPr>
          <w:rFonts w:ascii="Arial" w:hAnsi="Arial" w:cs="Arial"/>
          <w:sz w:val="18"/>
          <w:szCs w:val="18"/>
        </w:rPr>
        <w:t xml:space="preserve">. Mon. </w:t>
      </w:r>
      <w:proofErr w:type="spellStart"/>
      <w:r w:rsidRPr="00A72131">
        <w:rPr>
          <w:rFonts w:ascii="Arial" w:hAnsi="Arial" w:cs="Arial"/>
          <w:sz w:val="18"/>
          <w:szCs w:val="18"/>
        </w:rPr>
        <w:t>Weath</w:t>
      </w:r>
      <w:proofErr w:type="spellEnd"/>
      <w:r w:rsidRPr="00A72131">
        <w:rPr>
          <w:rFonts w:ascii="Arial" w:hAnsi="Arial" w:cs="Arial"/>
          <w:sz w:val="18"/>
          <w:szCs w:val="18"/>
        </w:rPr>
        <w:t xml:space="preserve">. </w:t>
      </w:r>
      <w:proofErr w:type="gramStart"/>
      <w:r w:rsidRPr="00A72131">
        <w:rPr>
          <w:rFonts w:ascii="Arial" w:hAnsi="Arial" w:cs="Arial"/>
          <w:sz w:val="18"/>
          <w:szCs w:val="18"/>
        </w:rPr>
        <w:t>Rev., 128, 1366-1383</w:t>
      </w:r>
      <w:r w:rsidR="0092316E">
        <w:rPr>
          <w:rFonts w:ascii="Arial" w:hAnsi="Arial" w:cs="Arial"/>
          <w:sz w:val="18"/>
          <w:szCs w:val="18"/>
        </w:rPr>
        <w:t xml:space="preserve"> (</w:t>
      </w:r>
      <w:r w:rsidRPr="00A72131">
        <w:rPr>
          <w:rFonts w:ascii="Arial" w:hAnsi="Arial" w:cs="Arial"/>
          <w:sz w:val="18"/>
          <w:szCs w:val="18"/>
        </w:rPr>
        <w:t>2000</w:t>
      </w:r>
      <w:r w:rsidR="0092316E">
        <w:rPr>
          <w:rFonts w:ascii="Arial" w:hAnsi="Arial" w:cs="Arial"/>
          <w:sz w:val="18"/>
          <w:szCs w:val="18"/>
        </w:rPr>
        <w:t>)</w:t>
      </w:r>
      <w:r w:rsidRPr="00A72131">
        <w:rPr>
          <w:rFonts w:ascii="Arial" w:hAnsi="Arial" w:cs="Arial"/>
          <w:sz w:val="18"/>
          <w:szCs w:val="18"/>
        </w:rPr>
        <w:t>.</w:t>
      </w:r>
      <w:proofErr w:type="gramEnd"/>
    </w:p>
    <w:p w:rsidR="00243E10" w:rsidRPr="00A72131" w:rsidRDefault="00243E10" w:rsidP="00764D03">
      <w:pPr>
        <w:spacing w:after="0" w:line="312" w:lineRule="auto"/>
        <w:jc w:val="both"/>
        <w:rPr>
          <w:rFonts w:ascii="Arial" w:hAnsi="Arial" w:cs="Arial"/>
          <w:sz w:val="18"/>
          <w:szCs w:val="18"/>
        </w:rPr>
      </w:pPr>
    </w:p>
    <w:p w:rsidR="003375C1" w:rsidRPr="00A72131" w:rsidRDefault="00243E10" w:rsidP="00764D03">
      <w:pPr>
        <w:spacing w:after="0" w:line="312" w:lineRule="auto"/>
        <w:jc w:val="both"/>
        <w:rPr>
          <w:rFonts w:ascii="Arial" w:hAnsi="Arial" w:cs="Arial"/>
          <w:sz w:val="18"/>
          <w:szCs w:val="18"/>
        </w:rPr>
      </w:pPr>
      <w:proofErr w:type="gramStart"/>
      <w:r w:rsidRPr="00A72131">
        <w:rPr>
          <w:rFonts w:ascii="Arial" w:hAnsi="Arial" w:cs="Arial"/>
          <w:sz w:val="18"/>
          <w:szCs w:val="18"/>
        </w:rPr>
        <w:t xml:space="preserve">Willis, J. K., D. </w:t>
      </w:r>
      <w:proofErr w:type="spellStart"/>
      <w:r w:rsidRPr="00A72131">
        <w:rPr>
          <w:rFonts w:ascii="Arial" w:hAnsi="Arial" w:cs="Arial"/>
          <w:sz w:val="18"/>
          <w:szCs w:val="18"/>
        </w:rPr>
        <w:t>Roemmich</w:t>
      </w:r>
      <w:proofErr w:type="spellEnd"/>
      <w:r w:rsidRPr="00A72131">
        <w:rPr>
          <w:rFonts w:ascii="Arial" w:hAnsi="Arial" w:cs="Arial"/>
          <w:sz w:val="18"/>
          <w:szCs w:val="18"/>
        </w:rPr>
        <w:t xml:space="preserve">, and B. </w:t>
      </w:r>
      <w:proofErr w:type="spellStart"/>
      <w:r w:rsidRPr="00A72131">
        <w:rPr>
          <w:rFonts w:ascii="Arial" w:hAnsi="Arial" w:cs="Arial"/>
          <w:sz w:val="18"/>
          <w:szCs w:val="18"/>
        </w:rPr>
        <w:t>Cornuelle</w:t>
      </w:r>
      <w:proofErr w:type="spellEnd"/>
      <w:r w:rsidR="00AA4FD8">
        <w:rPr>
          <w:rFonts w:ascii="Arial" w:hAnsi="Arial" w:cs="Arial"/>
          <w:sz w:val="18"/>
          <w:szCs w:val="18"/>
        </w:rPr>
        <w:t>.</w:t>
      </w:r>
      <w:proofErr w:type="gramEnd"/>
      <w:r w:rsidRPr="00A72131">
        <w:rPr>
          <w:rFonts w:ascii="Arial" w:hAnsi="Arial" w:cs="Arial"/>
          <w:sz w:val="18"/>
          <w:szCs w:val="18"/>
        </w:rPr>
        <w:t xml:space="preserve"> </w:t>
      </w:r>
      <w:proofErr w:type="gramStart"/>
      <w:r w:rsidRPr="00460935">
        <w:rPr>
          <w:rFonts w:ascii="Arial" w:hAnsi="Arial" w:cs="Arial"/>
          <w:i/>
          <w:sz w:val="18"/>
          <w:szCs w:val="18"/>
        </w:rPr>
        <w:t xml:space="preserve">Interannual variability in upper-ocean heat content, temperature and </w:t>
      </w:r>
      <w:proofErr w:type="spellStart"/>
      <w:r w:rsidRPr="00460935">
        <w:rPr>
          <w:rFonts w:ascii="Arial" w:hAnsi="Arial" w:cs="Arial"/>
          <w:i/>
          <w:sz w:val="18"/>
          <w:szCs w:val="18"/>
        </w:rPr>
        <w:t>thermosteric</w:t>
      </w:r>
      <w:proofErr w:type="spellEnd"/>
      <w:r w:rsidRPr="00460935">
        <w:rPr>
          <w:rFonts w:ascii="Arial" w:hAnsi="Arial" w:cs="Arial"/>
          <w:i/>
          <w:sz w:val="18"/>
          <w:szCs w:val="18"/>
        </w:rPr>
        <w:t xml:space="preserve"> expansion on global scales</w:t>
      </w:r>
      <w:r w:rsidR="00AA4FD8">
        <w:rPr>
          <w:rFonts w:ascii="Arial" w:hAnsi="Arial" w:cs="Arial"/>
          <w:i/>
          <w:sz w:val="18"/>
          <w:szCs w:val="18"/>
        </w:rPr>
        <w:t>.</w:t>
      </w:r>
      <w:proofErr w:type="gramEnd"/>
      <w:r w:rsidRPr="00A72131">
        <w:rPr>
          <w:rFonts w:ascii="Arial" w:hAnsi="Arial" w:cs="Arial"/>
          <w:sz w:val="18"/>
          <w:szCs w:val="18"/>
        </w:rPr>
        <w:t xml:space="preserve"> J. </w:t>
      </w:r>
      <w:proofErr w:type="spellStart"/>
      <w:r w:rsidRPr="00A72131">
        <w:rPr>
          <w:rFonts w:ascii="Arial" w:hAnsi="Arial" w:cs="Arial"/>
          <w:sz w:val="18"/>
          <w:szCs w:val="18"/>
        </w:rPr>
        <w:t>Geophys</w:t>
      </w:r>
      <w:proofErr w:type="spellEnd"/>
      <w:r w:rsidRPr="00A72131">
        <w:rPr>
          <w:rFonts w:ascii="Arial" w:hAnsi="Arial" w:cs="Arial"/>
          <w:sz w:val="18"/>
          <w:szCs w:val="18"/>
        </w:rPr>
        <w:t xml:space="preserve">. </w:t>
      </w:r>
      <w:proofErr w:type="gramStart"/>
      <w:r w:rsidRPr="00A72131">
        <w:rPr>
          <w:rFonts w:ascii="Arial" w:hAnsi="Arial" w:cs="Arial"/>
          <w:sz w:val="18"/>
          <w:szCs w:val="18"/>
        </w:rPr>
        <w:t>Res., 109 (C12036)</w:t>
      </w:r>
      <w:r w:rsidR="0092316E">
        <w:rPr>
          <w:rFonts w:ascii="Arial" w:hAnsi="Arial" w:cs="Arial"/>
          <w:sz w:val="18"/>
          <w:szCs w:val="18"/>
        </w:rPr>
        <w:t xml:space="preserve"> (</w:t>
      </w:r>
      <w:r w:rsidRPr="00A72131">
        <w:rPr>
          <w:rFonts w:ascii="Arial" w:hAnsi="Arial" w:cs="Arial"/>
          <w:sz w:val="18"/>
          <w:szCs w:val="18"/>
        </w:rPr>
        <w:t>2004</w:t>
      </w:r>
      <w:r w:rsidR="0092316E">
        <w:rPr>
          <w:rFonts w:ascii="Arial" w:hAnsi="Arial" w:cs="Arial"/>
          <w:sz w:val="18"/>
          <w:szCs w:val="18"/>
        </w:rPr>
        <w:t>)</w:t>
      </w:r>
      <w:r w:rsidRPr="00A72131">
        <w:rPr>
          <w:rFonts w:ascii="Arial" w:hAnsi="Arial" w:cs="Arial"/>
          <w:sz w:val="18"/>
          <w:szCs w:val="18"/>
        </w:rPr>
        <w:t>.</w:t>
      </w:r>
      <w:proofErr w:type="gramEnd"/>
    </w:p>
    <w:sectPr w:rsidR="003375C1" w:rsidRPr="00A72131" w:rsidSect="003312A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243E10"/>
    <w:rsid w:val="000A02C8"/>
    <w:rsid w:val="000F7820"/>
    <w:rsid w:val="001A5B11"/>
    <w:rsid w:val="00223994"/>
    <w:rsid w:val="00243E10"/>
    <w:rsid w:val="00275C49"/>
    <w:rsid w:val="00330481"/>
    <w:rsid w:val="003312A5"/>
    <w:rsid w:val="003375C1"/>
    <w:rsid w:val="00400689"/>
    <w:rsid w:val="00460935"/>
    <w:rsid w:val="00480D69"/>
    <w:rsid w:val="004941ED"/>
    <w:rsid w:val="004B1D07"/>
    <w:rsid w:val="00531DA8"/>
    <w:rsid w:val="005359FB"/>
    <w:rsid w:val="00576634"/>
    <w:rsid w:val="005835DD"/>
    <w:rsid w:val="00584BD4"/>
    <w:rsid w:val="00594393"/>
    <w:rsid w:val="006509AC"/>
    <w:rsid w:val="00764D03"/>
    <w:rsid w:val="007C002E"/>
    <w:rsid w:val="008A1358"/>
    <w:rsid w:val="0092316E"/>
    <w:rsid w:val="00995030"/>
    <w:rsid w:val="009A16DC"/>
    <w:rsid w:val="00A2712D"/>
    <w:rsid w:val="00A72131"/>
    <w:rsid w:val="00A73E7B"/>
    <w:rsid w:val="00A87236"/>
    <w:rsid w:val="00AA4FD8"/>
    <w:rsid w:val="00AE5597"/>
    <w:rsid w:val="00B06E4F"/>
    <w:rsid w:val="00B820F4"/>
    <w:rsid w:val="00B97A2E"/>
    <w:rsid w:val="00BB0915"/>
    <w:rsid w:val="00BD60AA"/>
    <w:rsid w:val="00C2798E"/>
    <w:rsid w:val="00C83D3A"/>
    <w:rsid w:val="00C858DB"/>
    <w:rsid w:val="00C921D0"/>
    <w:rsid w:val="00D86884"/>
    <w:rsid w:val="00E03A23"/>
    <w:rsid w:val="00E72C88"/>
    <w:rsid w:val="00F03D41"/>
    <w:rsid w:val="00F8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ragraph">
    <w:name w:val="New paragraph"/>
    <w:basedOn w:val="Normal"/>
    <w:rsid w:val="00E72C88"/>
    <w:pPr>
      <w:suppressAutoHyphens/>
      <w:spacing w:after="0" w:line="480" w:lineRule="auto"/>
      <w:ind w:firstLine="720"/>
    </w:pPr>
    <w:rPr>
      <w:rFonts w:ascii="Times New Roman" w:eastAsia="Times New Roman" w:hAnsi="Times New Roman" w:cs="Times New Roman"/>
      <w:kern w:val="1"/>
      <w:sz w:val="24"/>
      <w:szCs w:val="24"/>
      <w:lang w:val="en-GB" w:eastAsia="ar-SA"/>
    </w:rPr>
  </w:style>
  <w:style w:type="paragraph" w:styleId="BalloonText">
    <w:name w:val="Balloon Text"/>
    <w:basedOn w:val="Normal"/>
    <w:link w:val="BalloonTextChar"/>
    <w:uiPriority w:val="99"/>
    <w:semiHidden/>
    <w:unhideWhenUsed/>
    <w:rsid w:val="00E7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NOAA/AOML</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Francis.Bringas</dc:creator>
  <cp:keywords/>
  <dc:description/>
  <cp:lastModifiedBy>Francis.Bringas</cp:lastModifiedBy>
  <cp:revision>56</cp:revision>
  <cp:lastPrinted>2013-01-22T15:35:00Z</cp:lastPrinted>
  <dcterms:created xsi:type="dcterms:W3CDTF">2013-01-22T14:32:00Z</dcterms:created>
  <dcterms:modified xsi:type="dcterms:W3CDTF">2013-01-22T16:01:00Z</dcterms:modified>
</cp:coreProperties>
</file>