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6B2" w:rsidRPr="001B300E" w:rsidRDefault="00EC65B9" w:rsidP="003926B2">
      <w:pPr>
        <w:pStyle w:val="Header"/>
        <w:spacing w:after="120" w:line="240" w:lineRule="auto"/>
        <w:rPr>
          <w:rFonts w:ascii="Arial" w:hAnsi="Arial" w:cs="Arial"/>
        </w:rPr>
      </w:pPr>
      <w:r>
        <w:rPr>
          <w:rFonts w:ascii="Arial" w:hAnsi="Arial" w:cs="Arial"/>
        </w:rPr>
        <w:t xml:space="preserve">                                                 </w:t>
      </w:r>
      <w:r w:rsidR="003926B2" w:rsidRPr="001B300E">
        <w:rPr>
          <w:rFonts w:ascii="Arial" w:hAnsi="Arial" w:cs="Arial"/>
        </w:rPr>
        <w:t>WMO/CAS/WWW</w:t>
      </w:r>
    </w:p>
    <w:p w:rsidR="003926B2" w:rsidRPr="001B300E" w:rsidRDefault="003926B2" w:rsidP="003926B2">
      <w:pPr>
        <w:pStyle w:val="Header"/>
        <w:tabs>
          <w:tab w:val="clear" w:pos="4153"/>
          <w:tab w:val="clear" w:pos="8306"/>
          <w:tab w:val="left" w:pos="1635"/>
        </w:tabs>
        <w:spacing w:after="120" w:line="240" w:lineRule="auto"/>
        <w:rPr>
          <w:rFonts w:ascii="Arial" w:hAnsi="Arial" w:cs="Arial"/>
        </w:rPr>
      </w:pPr>
      <w:r w:rsidRPr="001B300E">
        <w:rPr>
          <w:rFonts w:ascii="Arial" w:hAnsi="Arial" w:cs="Arial"/>
        </w:rPr>
        <w:tab/>
      </w:r>
    </w:p>
    <w:p w:rsidR="003926B2" w:rsidRPr="001B300E" w:rsidRDefault="004D3C2F" w:rsidP="003926B2">
      <w:pPr>
        <w:pStyle w:val="Header"/>
        <w:spacing w:after="120" w:line="240" w:lineRule="auto"/>
        <w:rPr>
          <w:rFonts w:ascii="Arial" w:hAnsi="Arial" w:cs="Arial"/>
          <w:b/>
        </w:rPr>
      </w:pPr>
      <w:r>
        <w:rPr>
          <w:rFonts w:ascii="Arial" w:hAnsi="Arial" w:cs="Arial"/>
          <w:b/>
        </w:rPr>
        <w:t xml:space="preserve">THIRD </w:t>
      </w:r>
      <w:r w:rsidRPr="001B300E">
        <w:rPr>
          <w:rFonts w:ascii="Arial" w:hAnsi="Arial" w:cs="Arial"/>
          <w:b/>
        </w:rPr>
        <w:t xml:space="preserve"> </w:t>
      </w:r>
      <w:r w:rsidR="003926B2" w:rsidRPr="001B300E">
        <w:rPr>
          <w:rFonts w:ascii="Arial" w:hAnsi="Arial" w:cs="Arial"/>
          <w:b/>
        </w:rPr>
        <w:t>INTERNATIONAL WORKSHOP ON TROPICAL CYCLONES</w:t>
      </w:r>
      <w:r w:rsidR="003926B2">
        <w:rPr>
          <w:rFonts w:ascii="Arial" w:hAnsi="Arial" w:cs="Arial"/>
          <w:b/>
        </w:rPr>
        <w:t xml:space="preserve"> – LANDFALL PROCESSES</w:t>
      </w:r>
    </w:p>
    <w:p w:rsidR="003926B2" w:rsidRPr="001B300E" w:rsidRDefault="003926B2" w:rsidP="003926B2">
      <w:pPr>
        <w:pStyle w:val="Heading1"/>
        <w:spacing w:before="0" w:after="120" w:line="240" w:lineRule="auto"/>
        <w:rPr>
          <w:rFonts w:ascii="Arial" w:eastAsiaTheme="minorHAnsi" w:hAnsi="Arial" w:cs="Arial"/>
          <w:bCs w:val="0"/>
          <w:color w:val="auto"/>
          <w:sz w:val="24"/>
          <w:szCs w:val="22"/>
        </w:rPr>
      </w:pPr>
      <w:r>
        <w:rPr>
          <w:rFonts w:ascii="Arial" w:eastAsiaTheme="minorHAnsi" w:hAnsi="Arial" w:cs="Arial"/>
          <w:bCs w:val="0"/>
          <w:color w:val="auto"/>
          <w:sz w:val="24"/>
          <w:szCs w:val="22"/>
        </w:rPr>
        <w:t>8.1</w:t>
      </w:r>
      <w:r w:rsidRPr="001B300E">
        <w:rPr>
          <w:rFonts w:ascii="Arial" w:eastAsiaTheme="minorHAnsi" w:hAnsi="Arial" w:cs="Arial"/>
          <w:bCs w:val="0"/>
          <w:color w:val="auto"/>
          <w:sz w:val="24"/>
          <w:szCs w:val="22"/>
        </w:rPr>
        <w:t xml:space="preserve">: </w:t>
      </w:r>
      <w:r w:rsidRPr="00435059">
        <w:rPr>
          <w:rFonts w:ascii="Arial" w:eastAsiaTheme="minorHAnsi" w:hAnsi="Arial" w:cs="Arial"/>
          <w:bCs w:val="0"/>
          <w:color w:val="auto"/>
          <w:sz w:val="24"/>
          <w:szCs w:val="22"/>
        </w:rPr>
        <w:t xml:space="preserve">Summary of </w:t>
      </w:r>
      <w:r>
        <w:rPr>
          <w:rFonts w:ascii="Arial" w:eastAsiaTheme="minorHAnsi" w:hAnsi="Arial" w:cs="Arial"/>
          <w:bCs w:val="0"/>
          <w:color w:val="auto"/>
          <w:sz w:val="24"/>
          <w:szCs w:val="22"/>
        </w:rPr>
        <w:t>recent</w:t>
      </w:r>
      <w:r w:rsidRPr="00435059">
        <w:rPr>
          <w:rFonts w:ascii="Arial" w:eastAsiaTheme="minorHAnsi" w:hAnsi="Arial" w:cs="Arial"/>
          <w:bCs w:val="0"/>
          <w:color w:val="auto"/>
          <w:sz w:val="24"/>
          <w:szCs w:val="22"/>
        </w:rPr>
        <w:t xml:space="preserve"> research related to rainfall</w:t>
      </w:r>
    </w:p>
    <w:p w:rsidR="003926B2" w:rsidRPr="001B300E" w:rsidRDefault="003926B2" w:rsidP="003926B2">
      <w:pPr>
        <w:pStyle w:val="Titleblock"/>
        <w:spacing w:after="120" w:line="240" w:lineRule="auto"/>
        <w:rPr>
          <w:rFonts w:ascii="Arial" w:hAnsi="Arial" w:cs="Arial"/>
        </w:rPr>
      </w:pPr>
    </w:p>
    <w:p w:rsidR="003926B2" w:rsidRPr="001B300E" w:rsidRDefault="003926B2" w:rsidP="003926B2">
      <w:pPr>
        <w:pStyle w:val="Titleblock"/>
        <w:spacing w:after="120" w:line="240" w:lineRule="auto"/>
        <w:rPr>
          <w:rFonts w:ascii="Arial" w:hAnsi="Arial" w:cs="Arial"/>
        </w:rPr>
      </w:pPr>
      <w:r w:rsidRPr="001B300E">
        <w:rPr>
          <w:rFonts w:ascii="Arial" w:hAnsi="Arial" w:cs="Arial"/>
        </w:rPr>
        <w:t>Rapporteur:</w:t>
      </w:r>
      <w:r w:rsidRPr="001B300E">
        <w:rPr>
          <w:rFonts w:ascii="Arial" w:hAnsi="Arial" w:cs="Arial"/>
        </w:rPr>
        <w:tab/>
      </w:r>
      <w:r>
        <w:rPr>
          <w:rFonts w:ascii="Arial" w:hAnsi="Arial" w:cs="Arial"/>
        </w:rPr>
        <w:t>Tim Marchok (NOAA / GFDL - USA)</w:t>
      </w:r>
    </w:p>
    <w:p w:rsidR="003926B2" w:rsidRPr="001B300E" w:rsidRDefault="003926B2" w:rsidP="003926B2">
      <w:pPr>
        <w:pStyle w:val="Titleblock"/>
        <w:spacing w:after="120" w:line="240" w:lineRule="auto"/>
        <w:rPr>
          <w:rFonts w:ascii="Arial" w:hAnsi="Arial" w:cs="Arial"/>
        </w:rPr>
      </w:pPr>
      <w:r w:rsidRPr="001B300E">
        <w:rPr>
          <w:rFonts w:ascii="Arial" w:hAnsi="Arial" w:cs="Arial"/>
        </w:rPr>
        <w:tab/>
      </w:r>
      <w:r w:rsidRPr="001B300E">
        <w:rPr>
          <w:rFonts w:ascii="Arial" w:hAnsi="Arial" w:cs="Arial"/>
        </w:rPr>
        <w:tab/>
      </w:r>
      <w:r>
        <w:rPr>
          <w:rFonts w:ascii="Arial" w:hAnsi="Arial" w:cs="Arial"/>
        </w:rPr>
        <w:t>NOAA / GFDL</w:t>
      </w:r>
    </w:p>
    <w:p w:rsidR="003926B2" w:rsidRPr="001B300E" w:rsidRDefault="003926B2" w:rsidP="003926B2">
      <w:pPr>
        <w:pStyle w:val="Titleblock"/>
        <w:spacing w:after="120" w:line="240" w:lineRule="auto"/>
        <w:rPr>
          <w:rFonts w:ascii="Arial" w:hAnsi="Arial" w:cs="Arial"/>
        </w:rPr>
      </w:pPr>
      <w:r w:rsidRPr="001B300E">
        <w:rPr>
          <w:rFonts w:ascii="Arial" w:hAnsi="Arial" w:cs="Arial"/>
        </w:rPr>
        <w:tab/>
      </w:r>
      <w:r w:rsidRPr="001B300E">
        <w:rPr>
          <w:rFonts w:ascii="Arial" w:hAnsi="Arial" w:cs="Arial"/>
        </w:rPr>
        <w:tab/>
      </w:r>
      <w:r>
        <w:rPr>
          <w:rFonts w:ascii="Arial" w:hAnsi="Arial" w:cs="Arial"/>
        </w:rPr>
        <w:t>201 Forrestal Road, Princeton, NJ 08540</w:t>
      </w:r>
    </w:p>
    <w:p w:rsidR="003926B2" w:rsidRPr="001B300E" w:rsidRDefault="003926B2" w:rsidP="003926B2">
      <w:pPr>
        <w:pStyle w:val="Titleblock"/>
        <w:spacing w:after="120" w:line="240" w:lineRule="auto"/>
        <w:rPr>
          <w:rFonts w:ascii="Arial" w:hAnsi="Arial" w:cs="Arial"/>
        </w:rPr>
      </w:pPr>
    </w:p>
    <w:p w:rsidR="003926B2" w:rsidRPr="001B300E" w:rsidRDefault="003926B2" w:rsidP="003926B2">
      <w:pPr>
        <w:pStyle w:val="Titleblock"/>
        <w:spacing w:after="120" w:line="240" w:lineRule="auto"/>
        <w:rPr>
          <w:rFonts w:ascii="Arial" w:hAnsi="Arial" w:cs="Arial"/>
        </w:rPr>
      </w:pPr>
      <w:r w:rsidRPr="001B300E">
        <w:rPr>
          <w:rFonts w:ascii="Arial" w:hAnsi="Arial" w:cs="Arial"/>
        </w:rPr>
        <w:t>Email:</w:t>
      </w:r>
      <w:r w:rsidRPr="001B300E">
        <w:rPr>
          <w:rFonts w:ascii="Arial" w:hAnsi="Arial" w:cs="Arial"/>
        </w:rPr>
        <w:tab/>
      </w:r>
      <w:r w:rsidRPr="001B300E">
        <w:rPr>
          <w:rFonts w:ascii="Arial" w:hAnsi="Arial" w:cs="Arial"/>
        </w:rPr>
        <w:tab/>
      </w:r>
      <w:r>
        <w:rPr>
          <w:rFonts w:ascii="Arial" w:hAnsi="Arial" w:cs="Arial"/>
        </w:rPr>
        <w:t>timothy.marchok@noaa.gov</w:t>
      </w:r>
    </w:p>
    <w:p w:rsidR="003926B2" w:rsidRPr="001B300E" w:rsidRDefault="003926B2" w:rsidP="003926B2">
      <w:pPr>
        <w:pStyle w:val="Titleblock"/>
        <w:spacing w:after="120" w:line="240" w:lineRule="auto"/>
        <w:rPr>
          <w:rFonts w:ascii="Arial" w:hAnsi="Arial" w:cs="Arial"/>
        </w:rPr>
      </w:pPr>
      <w:r>
        <w:rPr>
          <w:rFonts w:ascii="Arial" w:hAnsi="Arial" w:cs="Arial"/>
        </w:rPr>
        <w:t>Phone:</w:t>
      </w:r>
      <w:r>
        <w:rPr>
          <w:rFonts w:ascii="Arial" w:hAnsi="Arial" w:cs="Arial"/>
        </w:rPr>
        <w:tab/>
      </w:r>
      <w:r>
        <w:rPr>
          <w:rFonts w:ascii="Arial" w:hAnsi="Arial" w:cs="Arial"/>
        </w:rPr>
        <w:tab/>
        <w:t>1-609-452-6534</w:t>
      </w:r>
    </w:p>
    <w:p w:rsidR="003926B2" w:rsidRPr="001B300E" w:rsidRDefault="003926B2" w:rsidP="003926B2">
      <w:pPr>
        <w:pStyle w:val="Titleblock"/>
        <w:spacing w:after="120" w:line="240" w:lineRule="auto"/>
        <w:rPr>
          <w:rFonts w:ascii="Arial" w:hAnsi="Arial" w:cs="Arial"/>
        </w:rPr>
      </w:pPr>
    </w:p>
    <w:p w:rsidR="003926B2" w:rsidRDefault="003926B2" w:rsidP="003926B2">
      <w:pPr>
        <w:spacing w:after="120" w:line="240" w:lineRule="auto"/>
        <w:rPr>
          <w:rFonts w:ascii="Arial" w:hAnsi="Arial" w:cs="Arial"/>
        </w:rPr>
      </w:pPr>
      <w:r w:rsidRPr="001B300E">
        <w:rPr>
          <w:rFonts w:ascii="Arial" w:hAnsi="Arial" w:cs="Arial"/>
        </w:rPr>
        <w:t>Working group</w:t>
      </w:r>
      <w:r>
        <w:rPr>
          <w:rFonts w:ascii="Arial" w:hAnsi="Arial" w:cs="Arial"/>
        </w:rPr>
        <w:t xml:space="preserve"> (alphabetical by surname)</w:t>
      </w:r>
      <w:r w:rsidRPr="001B300E">
        <w:rPr>
          <w:rFonts w:ascii="Arial" w:hAnsi="Arial" w:cs="Arial"/>
        </w:rPr>
        <w:t>:</w:t>
      </w:r>
    </w:p>
    <w:p w:rsidR="003926B2" w:rsidRPr="009F1EAA" w:rsidRDefault="003926B2" w:rsidP="003926B2">
      <w:pPr>
        <w:spacing w:after="120" w:line="240" w:lineRule="auto"/>
        <w:contextualSpacing/>
        <w:rPr>
          <w:rFonts w:ascii="Arial" w:hAnsi="Arial" w:cs="Arial"/>
        </w:rPr>
      </w:pPr>
      <w:r w:rsidRPr="009F1EAA">
        <w:rPr>
          <w:rFonts w:ascii="Arial" w:hAnsi="Arial" w:cs="Arial"/>
        </w:rPr>
        <w:t>Dan Cecil</w:t>
      </w:r>
      <w:r w:rsidRPr="009F1EAA">
        <w:rPr>
          <w:rFonts w:ascii="Arial" w:hAnsi="Arial" w:cs="Arial"/>
        </w:rPr>
        <w:tab/>
      </w:r>
      <w:r w:rsidRPr="009F1EAA">
        <w:rPr>
          <w:rFonts w:ascii="Arial" w:hAnsi="Arial" w:cs="Arial"/>
        </w:rPr>
        <w:tab/>
        <w:t>National Aeronautics and Space Administration, USA</w:t>
      </w:r>
    </w:p>
    <w:p w:rsidR="003926B2" w:rsidRPr="009F1EAA" w:rsidRDefault="003926B2" w:rsidP="003926B2">
      <w:pPr>
        <w:spacing w:after="120" w:line="240" w:lineRule="auto"/>
        <w:contextualSpacing/>
        <w:rPr>
          <w:rFonts w:ascii="Arial" w:hAnsi="Arial" w:cs="Arial"/>
        </w:rPr>
      </w:pPr>
      <w:r>
        <w:rPr>
          <w:rFonts w:ascii="Arial" w:hAnsi="Arial" w:cs="Arial"/>
        </w:rPr>
        <w:t>Jau-Ming Chen</w:t>
      </w:r>
      <w:r>
        <w:rPr>
          <w:rFonts w:ascii="Arial" w:hAnsi="Arial" w:cs="Arial"/>
        </w:rPr>
        <w:tab/>
      </w:r>
      <w:r w:rsidR="00205855">
        <w:rPr>
          <w:rFonts w:ascii="Arial" w:hAnsi="Arial" w:cs="Arial"/>
        </w:rPr>
        <w:t>Pacific Science Association (PSA)</w:t>
      </w:r>
    </w:p>
    <w:p w:rsidR="003926B2" w:rsidRPr="009F1EAA" w:rsidRDefault="003926B2" w:rsidP="003926B2">
      <w:pPr>
        <w:spacing w:after="120" w:line="240" w:lineRule="auto"/>
        <w:contextualSpacing/>
        <w:rPr>
          <w:rFonts w:ascii="Arial" w:hAnsi="Arial" w:cs="Arial"/>
        </w:rPr>
      </w:pPr>
      <w:r w:rsidRPr="009F1EAA">
        <w:rPr>
          <w:rFonts w:ascii="Arial" w:hAnsi="Arial" w:cs="Arial"/>
        </w:rPr>
        <w:t>Lianshou Che</w:t>
      </w:r>
      <w:r>
        <w:rPr>
          <w:rFonts w:ascii="Arial" w:hAnsi="Arial" w:cs="Arial"/>
        </w:rPr>
        <w:t>n</w:t>
      </w:r>
      <w:r>
        <w:rPr>
          <w:rFonts w:ascii="Arial" w:hAnsi="Arial" w:cs="Arial"/>
        </w:rPr>
        <w:tab/>
      </w:r>
      <w:r w:rsidRPr="009F1EAA">
        <w:rPr>
          <w:rFonts w:ascii="Arial" w:hAnsi="Arial" w:cs="Arial"/>
        </w:rPr>
        <w:t>Chinese Academy of Meteorological Sciences, China</w:t>
      </w:r>
    </w:p>
    <w:p w:rsidR="003926B2" w:rsidRPr="009F1EAA" w:rsidRDefault="003926B2" w:rsidP="00072AA3">
      <w:pPr>
        <w:spacing w:after="120" w:line="240" w:lineRule="auto"/>
        <w:ind w:left="2160" w:hanging="2160"/>
        <w:contextualSpacing/>
        <w:rPr>
          <w:rFonts w:ascii="Arial" w:hAnsi="Arial" w:cs="Arial"/>
        </w:rPr>
      </w:pPr>
      <w:r w:rsidRPr="009F1EAA">
        <w:rPr>
          <w:rFonts w:ascii="Arial" w:hAnsi="Arial" w:cs="Arial"/>
        </w:rPr>
        <w:t>Xiaopeng Cui</w:t>
      </w:r>
      <w:r w:rsidRPr="009F1EAA">
        <w:rPr>
          <w:rFonts w:ascii="Arial" w:hAnsi="Arial" w:cs="Arial"/>
        </w:rPr>
        <w:tab/>
      </w:r>
      <w:r w:rsidR="00072AA3" w:rsidRPr="00072AA3">
        <w:rPr>
          <w:rFonts w:ascii="Arial" w:hAnsi="Arial" w:cs="Arial"/>
        </w:rPr>
        <w:t xml:space="preserve">Institute of Atmospheric Physics, </w:t>
      </w:r>
      <w:r w:rsidRPr="009F1EAA">
        <w:rPr>
          <w:rFonts w:ascii="Arial" w:hAnsi="Arial" w:cs="Arial"/>
        </w:rPr>
        <w:t>Chinese Academy of Sciences, China</w:t>
      </w:r>
    </w:p>
    <w:p w:rsidR="003926B2" w:rsidRPr="009F1EAA" w:rsidRDefault="003926B2" w:rsidP="003926B2">
      <w:pPr>
        <w:spacing w:after="120" w:line="240" w:lineRule="auto"/>
        <w:contextualSpacing/>
        <w:rPr>
          <w:rFonts w:ascii="Arial" w:hAnsi="Arial" w:cs="Arial"/>
        </w:rPr>
      </w:pPr>
      <w:r w:rsidRPr="009F1EAA">
        <w:rPr>
          <w:rFonts w:ascii="Arial" w:hAnsi="Arial" w:cs="Arial"/>
        </w:rPr>
        <w:t>Richard Dare</w:t>
      </w:r>
      <w:r w:rsidRPr="009F1EAA">
        <w:rPr>
          <w:rFonts w:ascii="Arial" w:hAnsi="Arial" w:cs="Arial"/>
        </w:rPr>
        <w:tab/>
      </w:r>
      <w:r w:rsidRPr="009F1EAA">
        <w:rPr>
          <w:rFonts w:ascii="Arial" w:hAnsi="Arial" w:cs="Arial"/>
        </w:rPr>
        <w:tab/>
        <w:t>Australia Bureau of Meteorology, Australia</w:t>
      </w:r>
    </w:p>
    <w:p w:rsidR="003926B2" w:rsidRPr="009F1EAA" w:rsidRDefault="003926B2" w:rsidP="003926B2">
      <w:pPr>
        <w:spacing w:after="120" w:line="240" w:lineRule="auto"/>
        <w:contextualSpacing/>
        <w:rPr>
          <w:rFonts w:ascii="Arial" w:hAnsi="Arial" w:cs="Arial"/>
        </w:rPr>
      </w:pPr>
      <w:r w:rsidRPr="009F1EAA">
        <w:rPr>
          <w:rFonts w:ascii="Arial" w:hAnsi="Arial" w:cs="Arial"/>
        </w:rPr>
        <w:t>Anthony Didlake</w:t>
      </w:r>
      <w:r w:rsidRPr="009F1EAA">
        <w:rPr>
          <w:rFonts w:ascii="Arial" w:hAnsi="Arial" w:cs="Arial"/>
        </w:rPr>
        <w:tab/>
        <w:t>National Aeronautics and Space Administration, USA</w:t>
      </w:r>
    </w:p>
    <w:p w:rsidR="003926B2" w:rsidRPr="009F1EAA" w:rsidRDefault="003926B2" w:rsidP="003926B2">
      <w:pPr>
        <w:spacing w:after="120" w:line="240" w:lineRule="auto"/>
        <w:contextualSpacing/>
        <w:rPr>
          <w:rFonts w:ascii="Arial" w:hAnsi="Arial" w:cs="Arial"/>
        </w:rPr>
      </w:pPr>
      <w:r w:rsidRPr="009F1EAA">
        <w:rPr>
          <w:rFonts w:ascii="Arial" w:hAnsi="Arial" w:cs="Arial"/>
        </w:rPr>
        <w:t>Russ Elsberry</w:t>
      </w:r>
      <w:r w:rsidRPr="009F1EAA">
        <w:rPr>
          <w:rFonts w:ascii="Arial" w:hAnsi="Arial" w:cs="Arial"/>
        </w:rPr>
        <w:tab/>
      </w:r>
      <w:r w:rsidRPr="009F1EAA">
        <w:rPr>
          <w:rFonts w:ascii="Arial" w:hAnsi="Arial" w:cs="Arial"/>
        </w:rPr>
        <w:tab/>
        <w:t>U.S. Naval Postgraduate School, USA</w:t>
      </w:r>
    </w:p>
    <w:p w:rsidR="003926B2" w:rsidRPr="009F1EAA" w:rsidRDefault="003926B2" w:rsidP="003926B2">
      <w:pPr>
        <w:spacing w:after="120" w:line="240" w:lineRule="auto"/>
        <w:contextualSpacing/>
        <w:rPr>
          <w:rFonts w:ascii="Arial" w:hAnsi="Arial" w:cs="Arial"/>
        </w:rPr>
      </w:pPr>
      <w:r>
        <w:rPr>
          <w:rFonts w:ascii="Arial" w:hAnsi="Arial" w:cs="Arial"/>
        </w:rPr>
        <w:t>Tom Galarneau</w:t>
      </w:r>
      <w:r>
        <w:rPr>
          <w:rFonts w:ascii="Arial" w:hAnsi="Arial" w:cs="Arial"/>
        </w:rPr>
        <w:tab/>
      </w:r>
      <w:r w:rsidR="00072AA3">
        <w:rPr>
          <w:rFonts w:ascii="Arial" w:hAnsi="Arial" w:cs="Arial"/>
        </w:rPr>
        <w:t>National Center</w:t>
      </w:r>
      <w:r w:rsidRPr="009F1EAA">
        <w:rPr>
          <w:rFonts w:ascii="Arial" w:hAnsi="Arial" w:cs="Arial"/>
        </w:rPr>
        <w:t xml:space="preserve"> for Atmospheric Research, USA</w:t>
      </w:r>
    </w:p>
    <w:p w:rsidR="003926B2" w:rsidRPr="009F1EAA" w:rsidRDefault="003926B2" w:rsidP="003926B2">
      <w:pPr>
        <w:spacing w:after="120" w:line="240" w:lineRule="auto"/>
        <w:contextualSpacing/>
        <w:rPr>
          <w:rFonts w:ascii="Arial" w:hAnsi="Arial" w:cs="Arial"/>
        </w:rPr>
      </w:pPr>
      <w:r w:rsidRPr="009F1EAA">
        <w:rPr>
          <w:rFonts w:ascii="Arial" w:hAnsi="Arial" w:cs="Arial"/>
        </w:rPr>
        <w:t>Haiyan Jiang</w:t>
      </w:r>
      <w:r w:rsidRPr="009F1EAA">
        <w:rPr>
          <w:rFonts w:ascii="Arial" w:hAnsi="Arial" w:cs="Arial"/>
        </w:rPr>
        <w:tab/>
      </w:r>
      <w:r w:rsidRPr="009F1EAA">
        <w:rPr>
          <w:rFonts w:ascii="Arial" w:hAnsi="Arial" w:cs="Arial"/>
        </w:rPr>
        <w:tab/>
        <w:t>Florida International University, USA</w:t>
      </w:r>
    </w:p>
    <w:p w:rsidR="003926B2" w:rsidRPr="009F1EAA" w:rsidRDefault="003926B2" w:rsidP="003926B2">
      <w:pPr>
        <w:spacing w:after="120" w:line="240" w:lineRule="auto"/>
        <w:contextualSpacing/>
        <w:rPr>
          <w:rFonts w:ascii="Arial" w:hAnsi="Arial" w:cs="Arial"/>
        </w:rPr>
      </w:pPr>
      <w:r w:rsidRPr="009F1EAA">
        <w:rPr>
          <w:rFonts w:ascii="Arial" w:hAnsi="Arial" w:cs="Arial"/>
        </w:rPr>
        <w:t>Tim Marchok</w:t>
      </w:r>
      <w:r w:rsidRPr="009F1EAA">
        <w:rPr>
          <w:rFonts w:ascii="Arial" w:hAnsi="Arial" w:cs="Arial"/>
        </w:rPr>
        <w:tab/>
      </w:r>
      <w:r w:rsidRPr="009F1EAA">
        <w:rPr>
          <w:rFonts w:ascii="Arial" w:hAnsi="Arial" w:cs="Arial"/>
        </w:rPr>
        <w:tab/>
        <w:t>National Oceanic and Atmospheric Administration, USA</w:t>
      </w:r>
    </w:p>
    <w:p w:rsidR="003926B2" w:rsidRPr="009F1EAA" w:rsidRDefault="003926B2" w:rsidP="003926B2">
      <w:pPr>
        <w:spacing w:after="120" w:line="240" w:lineRule="auto"/>
        <w:contextualSpacing/>
        <w:rPr>
          <w:rFonts w:ascii="Arial" w:hAnsi="Arial" w:cs="Arial"/>
        </w:rPr>
      </w:pPr>
      <w:r w:rsidRPr="009F1EAA">
        <w:rPr>
          <w:rFonts w:ascii="Arial" w:hAnsi="Arial" w:cs="Arial"/>
        </w:rPr>
        <w:t>Frank Marks</w:t>
      </w:r>
      <w:r w:rsidRPr="009F1EAA">
        <w:rPr>
          <w:rFonts w:ascii="Arial" w:hAnsi="Arial" w:cs="Arial"/>
        </w:rPr>
        <w:tab/>
      </w:r>
      <w:r w:rsidRPr="009F1EAA">
        <w:rPr>
          <w:rFonts w:ascii="Arial" w:hAnsi="Arial" w:cs="Arial"/>
        </w:rPr>
        <w:tab/>
        <w:t>National Oceanic and Atmospheric Administration, USA</w:t>
      </w:r>
    </w:p>
    <w:p w:rsidR="003926B2" w:rsidRPr="009F1EAA" w:rsidRDefault="003926B2" w:rsidP="003926B2">
      <w:pPr>
        <w:spacing w:after="120" w:line="240" w:lineRule="auto"/>
        <w:contextualSpacing/>
        <w:rPr>
          <w:rFonts w:ascii="Arial" w:hAnsi="Arial" w:cs="Arial"/>
        </w:rPr>
      </w:pPr>
      <w:r w:rsidRPr="009F1EAA">
        <w:rPr>
          <w:rFonts w:ascii="Arial" w:hAnsi="Arial" w:cs="Arial"/>
        </w:rPr>
        <w:t>Gabriele Villarini</w:t>
      </w:r>
      <w:r w:rsidRPr="009F1EAA">
        <w:rPr>
          <w:rFonts w:ascii="Arial" w:hAnsi="Arial" w:cs="Arial"/>
        </w:rPr>
        <w:tab/>
        <w:t>University of Iowa, USA</w:t>
      </w:r>
    </w:p>
    <w:p w:rsidR="003926B2" w:rsidRPr="003926B2" w:rsidRDefault="003926B2" w:rsidP="003926B2">
      <w:pPr>
        <w:spacing w:after="120" w:line="240" w:lineRule="auto"/>
        <w:rPr>
          <w:rFonts w:ascii="Arial" w:hAnsi="Arial" w:cs="Arial"/>
          <w:sz w:val="20"/>
          <w:szCs w:val="20"/>
        </w:rPr>
      </w:pPr>
    </w:p>
    <w:p w:rsidR="006E728B" w:rsidRDefault="001B3580" w:rsidP="003926B2">
      <w:pPr>
        <w:spacing w:after="120" w:line="240" w:lineRule="auto"/>
        <w:rPr>
          <w:rFonts w:ascii="Arial" w:hAnsi="Arial" w:cs="Arial"/>
          <w:sz w:val="20"/>
          <w:szCs w:val="20"/>
        </w:rPr>
      </w:pPr>
      <w:r>
        <w:rPr>
          <w:rFonts w:ascii="Arial" w:hAnsi="Arial" w:cs="Arial"/>
          <w:b/>
          <w:sz w:val="20"/>
          <w:szCs w:val="20"/>
        </w:rPr>
        <w:t>Abstract</w:t>
      </w:r>
      <w:r w:rsidR="003926B2" w:rsidRPr="003926B2">
        <w:rPr>
          <w:rFonts w:ascii="Arial" w:hAnsi="Arial" w:cs="Arial"/>
          <w:b/>
          <w:sz w:val="20"/>
          <w:szCs w:val="20"/>
        </w:rPr>
        <w:t>:</w:t>
      </w:r>
      <w:r>
        <w:rPr>
          <w:rFonts w:ascii="Arial" w:hAnsi="Arial" w:cs="Arial"/>
          <w:b/>
          <w:sz w:val="20"/>
          <w:szCs w:val="20"/>
        </w:rPr>
        <w:t xml:space="preserve">  </w:t>
      </w:r>
      <w:r w:rsidR="007F4CDF">
        <w:rPr>
          <w:rFonts w:ascii="Arial" w:hAnsi="Arial" w:cs="Arial"/>
          <w:sz w:val="20"/>
          <w:szCs w:val="20"/>
        </w:rPr>
        <w:t xml:space="preserve">Recent research on tropical cyclone rainfall has focused on </w:t>
      </w:r>
      <w:r w:rsidR="00ED63FF">
        <w:rPr>
          <w:rFonts w:ascii="Arial" w:hAnsi="Arial" w:cs="Arial"/>
          <w:sz w:val="20"/>
          <w:szCs w:val="20"/>
        </w:rPr>
        <w:t>several different topics</w:t>
      </w:r>
      <w:r w:rsidR="007F4CDF">
        <w:rPr>
          <w:rFonts w:ascii="Arial" w:hAnsi="Arial" w:cs="Arial"/>
          <w:sz w:val="20"/>
          <w:szCs w:val="20"/>
        </w:rPr>
        <w:t xml:space="preserve">.  A number of studies have focused on assessing the climatology of tropical cyclone rainfall both globally and in various basins around the globe.  In addition, there has been an increasing emphasis in the United States on assessing the relationship between landfalling tropical cyclones and the climatology of inland flooding. </w:t>
      </w:r>
    </w:p>
    <w:p w:rsidR="003926B2" w:rsidRDefault="00985988" w:rsidP="003926B2">
      <w:pPr>
        <w:spacing w:after="120" w:line="240" w:lineRule="auto"/>
        <w:rPr>
          <w:rFonts w:ascii="Arial" w:hAnsi="Arial" w:cs="Arial"/>
          <w:sz w:val="20"/>
          <w:szCs w:val="20"/>
        </w:rPr>
      </w:pPr>
      <w:r>
        <w:rPr>
          <w:rFonts w:ascii="Arial" w:hAnsi="Arial" w:cs="Arial"/>
          <w:sz w:val="20"/>
          <w:szCs w:val="20"/>
        </w:rPr>
        <w:t>Recent research has also focused heavily on better understanding the dynamics of tropical cyclone rainbands.  Results are presented that highlight findings from reconnaissance missions into the rainbands of Hurricane Rita (2005).  Results are also presented that detail characteristics of long-lasting rainbands in Western Pacific tropical cyclones, including a description of outer mesoscale convective systems and enhanced rainbands.</w:t>
      </w:r>
    </w:p>
    <w:p w:rsidR="003926B2" w:rsidRPr="003926B2" w:rsidRDefault="00A566BA" w:rsidP="003926B2">
      <w:pPr>
        <w:spacing w:after="120" w:line="240" w:lineRule="auto"/>
        <w:rPr>
          <w:rFonts w:ascii="Arial" w:hAnsi="Arial" w:cs="Arial"/>
          <w:sz w:val="20"/>
          <w:szCs w:val="20"/>
        </w:rPr>
      </w:pPr>
      <w:r>
        <w:rPr>
          <w:rFonts w:ascii="Arial" w:hAnsi="Arial" w:cs="Arial"/>
          <w:sz w:val="20"/>
          <w:szCs w:val="20"/>
        </w:rPr>
        <w:t>Research has also focused</w:t>
      </w:r>
      <w:r w:rsidR="006E728B">
        <w:rPr>
          <w:rFonts w:ascii="Arial" w:hAnsi="Arial" w:cs="Arial"/>
          <w:sz w:val="20"/>
          <w:szCs w:val="20"/>
        </w:rPr>
        <w:t xml:space="preserve"> on a variety of topics related to the impact of environmental interactions on tropical cyclone rainfall, including work to better understand the role of vertical </w:t>
      </w:r>
      <w:r w:rsidR="00E746F5">
        <w:rPr>
          <w:rFonts w:ascii="Arial" w:eastAsiaTheme="minorEastAsia" w:hAnsi="Arial" w:cs="Arial" w:hint="eastAsia"/>
          <w:sz w:val="20"/>
          <w:szCs w:val="20"/>
          <w:lang w:eastAsia="zh-CN"/>
        </w:rPr>
        <w:t xml:space="preserve">wind </w:t>
      </w:r>
      <w:r w:rsidR="006E728B">
        <w:rPr>
          <w:rFonts w:ascii="Arial" w:hAnsi="Arial" w:cs="Arial"/>
          <w:sz w:val="20"/>
          <w:szCs w:val="20"/>
        </w:rPr>
        <w:t xml:space="preserve">shear on rainfall.  </w:t>
      </w:r>
      <w:r w:rsidR="00274F79">
        <w:rPr>
          <w:rFonts w:ascii="Arial" w:hAnsi="Arial" w:cs="Arial"/>
          <w:sz w:val="20"/>
          <w:szCs w:val="20"/>
        </w:rPr>
        <w:t>One topic related to environmental interaction</w:t>
      </w:r>
      <w:r w:rsidR="00016746">
        <w:rPr>
          <w:rFonts w:ascii="Arial" w:hAnsi="Arial" w:cs="Arial"/>
          <w:sz w:val="20"/>
          <w:szCs w:val="20"/>
        </w:rPr>
        <w:t>s</w:t>
      </w:r>
      <w:r w:rsidR="00274F79">
        <w:rPr>
          <w:rFonts w:ascii="Arial" w:hAnsi="Arial" w:cs="Arial"/>
          <w:sz w:val="20"/>
          <w:szCs w:val="20"/>
        </w:rPr>
        <w:t xml:space="preserve"> that has gained an increasing amount of focus in recent years is remote rainfall, a phenomenon that has been described for cases occurring in the United States as a predecessor rain event, and in Southeast Asia as a tropical cyclone remote precipitation event.</w:t>
      </w:r>
      <w:r w:rsidR="00E867E8">
        <w:rPr>
          <w:rFonts w:ascii="Arial" w:hAnsi="Arial" w:cs="Arial"/>
          <w:sz w:val="20"/>
          <w:szCs w:val="20"/>
        </w:rPr>
        <w:t xml:space="preserve">  In addition, recent research on storms making landfall in China has focused on a phenomenon described as rainfall reinforcement, </w:t>
      </w:r>
      <w:r>
        <w:rPr>
          <w:rFonts w:ascii="Arial" w:hAnsi="Arial" w:cs="Arial"/>
          <w:sz w:val="20"/>
          <w:szCs w:val="20"/>
        </w:rPr>
        <w:t xml:space="preserve">whereby </w:t>
      </w:r>
      <w:r w:rsidR="00E867E8">
        <w:rPr>
          <w:rFonts w:ascii="Arial" w:hAnsi="Arial" w:cs="Arial"/>
          <w:sz w:val="20"/>
          <w:szCs w:val="20"/>
        </w:rPr>
        <w:t>a storm is reinvigorated and rainfall enhanced, despite the fact that the storm has already made landfall.</w:t>
      </w:r>
    </w:p>
    <w:p w:rsidR="003926B2" w:rsidRPr="003926B2" w:rsidRDefault="003926B2" w:rsidP="003926B2">
      <w:pPr>
        <w:spacing w:after="120" w:line="240" w:lineRule="auto"/>
        <w:rPr>
          <w:rFonts w:ascii="Arial" w:hAnsi="Arial" w:cs="Arial"/>
          <w:b/>
          <w:sz w:val="20"/>
          <w:szCs w:val="20"/>
        </w:rPr>
      </w:pPr>
      <w:r w:rsidRPr="003926B2">
        <w:rPr>
          <w:rFonts w:ascii="Arial" w:hAnsi="Arial" w:cs="Arial"/>
          <w:b/>
          <w:sz w:val="20"/>
          <w:szCs w:val="20"/>
        </w:rPr>
        <w:lastRenderedPageBreak/>
        <w:t>8.1.0.  Introduction</w:t>
      </w:r>
    </w:p>
    <w:p w:rsidR="003926B2" w:rsidRPr="003926B2" w:rsidRDefault="003926B2" w:rsidP="00637E95">
      <w:pPr>
        <w:spacing w:after="120" w:line="240" w:lineRule="auto"/>
        <w:ind w:firstLine="720"/>
        <w:rPr>
          <w:rFonts w:ascii="Arial" w:hAnsi="Arial" w:cs="Arial"/>
          <w:sz w:val="20"/>
          <w:szCs w:val="20"/>
        </w:rPr>
      </w:pPr>
      <w:r w:rsidRPr="003926B2">
        <w:rPr>
          <w:rFonts w:ascii="Arial" w:hAnsi="Arial" w:cs="Arial"/>
          <w:sz w:val="20"/>
          <w:szCs w:val="20"/>
        </w:rPr>
        <w:t>Landfalling tropical cyclones present an array of hazards to life, property and ecosystems.  Tropical cyclone (TC) rainfall is a particularly serious threat due to inland flooding and landslides.  Prior to Hurricane Katrina (2005), drowning due to inland flooding was the leading cause of death from landfalling TCs in the United States over the previous three decades (Rappaport 2000).  Landslides and flooding in Taiwan resulting from the record rainfall of Typhoon Morakot (2009) claimed the lives of about 700 people (Hall et al. 2013).  In the North Indian Ocean basin, Cyclone Nargis (2008) dropped approximately 600 millimeters of rain in Myanmar, which contributed to a staggering toll of 130,000 dead or missing (McPhaden et al. 2009).  In addition to loss of life, recent studies (e.g., Czajkowski et al. 2013, Pielke et al. 2008) have also highlighted the severe economic losses resulting from inland flooding due to TC rainfall.</w:t>
      </w:r>
    </w:p>
    <w:p w:rsidR="003926B2" w:rsidRPr="003926B2" w:rsidRDefault="003926B2" w:rsidP="00637E95">
      <w:pPr>
        <w:spacing w:after="120" w:line="240" w:lineRule="auto"/>
        <w:ind w:firstLine="720"/>
        <w:rPr>
          <w:rFonts w:ascii="Arial" w:hAnsi="Arial" w:cs="Arial"/>
          <w:sz w:val="20"/>
          <w:szCs w:val="20"/>
        </w:rPr>
      </w:pPr>
      <w:r w:rsidRPr="003926B2">
        <w:rPr>
          <w:rFonts w:ascii="Arial" w:hAnsi="Arial" w:cs="Arial"/>
          <w:sz w:val="20"/>
          <w:szCs w:val="20"/>
        </w:rPr>
        <w:t xml:space="preserve">At the same time, TCs may also bring beneficial rainfall to regions outside the tropics.  Several recent studies (e.g., Jiang and Zipser 2010, Kubota and Wang 2009, Rogers et al. 2009, Shepherd et al. 2007, Ren et al. 2006, Rodgers et al. 2000, 2001) have described the contribution of TC rainfall to total annual precipitation in various basins across the globe.  </w:t>
      </w:r>
    </w:p>
    <w:p w:rsidR="003926B2" w:rsidRPr="003926B2" w:rsidRDefault="003926B2" w:rsidP="00637E95">
      <w:pPr>
        <w:spacing w:after="120" w:line="240" w:lineRule="auto"/>
        <w:ind w:firstLine="720"/>
        <w:rPr>
          <w:rFonts w:ascii="Arial" w:hAnsi="Arial" w:cs="Arial"/>
          <w:sz w:val="20"/>
          <w:szCs w:val="20"/>
        </w:rPr>
      </w:pPr>
      <w:r w:rsidRPr="003926B2">
        <w:rPr>
          <w:rFonts w:ascii="Arial" w:hAnsi="Arial" w:cs="Arial"/>
          <w:sz w:val="20"/>
          <w:szCs w:val="20"/>
        </w:rPr>
        <w:t>Rainfall from TCs is associated with several different structures.  Rainfall near the eyewall is convectively driven and is associated with the secondary (radial-vertical) circulation of the storm.  The rainfall rates in this region may be very intense and can approach 70 mm h</w:t>
      </w:r>
      <w:r w:rsidRPr="003926B2">
        <w:rPr>
          <w:rFonts w:ascii="Arial" w:hAnsi="Arial" w:cs="Arial"/>
          <w:sz w:val="20"/>
          <w:szCs w:val="20"/>
          <w:vertAlign w:val="superscript"/>
        </w:rPr>
        <w:t>-1</w:t>
      </w:r>
      <w:r w:rsidRPr="003926B2">
        <w:rPr>
          <w:rFonts w:ascii="Arial" w:hAnsi="Arial" w:cs="Arial"/>
          <w:sz w:val="20"/>
          <w:szCs w:val="20"/>
        </w:rPr>
        <w:t xml:space="preserve"> or more (Marks 2003).  Precipitation that falls outside the eyewall region in the spiraling rainbands is a mixture of both convective and stratiform rain.  Outside of either the eyewall region or the rainbands, generally lighter stratiform rainfall may occur.</w:t>
      </w:r>
    </w:p>
    <w:p w:rsidR="003926B2" w:rsidRPr="003926B2" w:rsidRDefault="003926B2" w:rsidP="00637E95">
      <w:pPr>
        <w:spacing w:after="120" w:line="240" w:lineRule="auto"/>
        <w:ind w:firstLine="720"/>
        <w:rPr>
          <w:rFonts w:ascii="Arial" w:hAnsi="Arial" w:cs="Arial"/>
          <w:sz w:val="20"/>
          <w:szCs w:val="20"/>
        </w:rPr>
      </w:pPr>
      <w:r w:rsidRPr="003926B2">
        <w:rPr>
          <w:rFonts w:ascii="Arial" w:hAnsi="Arial" w:cs="Arial"/>
          <w:sz w:val="20"/>
          <w:szCs w:val="20"/>
        </w:rPr>
        <w:t>A number of environmental factors can have a significant impact on both the amount and distribution of rainfall associated with  landfalling TCs.  An influx of low-level moisture is critical for enhancing rainfall, and that can be accomplished in a number of ways, including frictional convergence in the front-right (front-left) quadrant  for Northern (Southern) Hemisphere TCs (e.g., Powell 1982;  Corbosiero and Molinari 2003; Lonfat et al. 2004), and it can also be accomplished for storms in the Southeast Asia region via interaction with monsoon surges.  Interaction with mid-latitude troughs can modify both the intensity and distribution of TC rainfall by modifying the locations of updrafts and downdrafts due to vertical shear (e.g., Rogers et al. 2003) and also through the process of extratropical transition (e.g., Jones et al. 2003).  Topography and microphysical processes can also have a profound impact on the evolution of rainfall occurring within landfalling TCs.  The schematic in Figure 1 illustrates the interplay of some of the various components that are instrumental to the TC rainfall process.</w:t>
      </w:r>
    </w:p>
    <w:p w:rsidR="003926B2" w:rsidRPr="00D716BC" w:rsidRDefault="003926B2" w:rsidP="003926B2">
      <w:pPr>
        <w:jc w:val="center"/>
      </w:pPr>
      <w:r w:rsidRPr="00D716BC">
        <w:rPr>
          <w:noProof/>
        </w:rPr>
        <w:drawing>
          <wp:inline distT="0" distB="0" distL="0" distR="0" wp14:anchorId="1CAD949A" wp14:editId="4A2AA38C">
            <wp:extent cx="4558730" cy="26719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13472" r="595" b="8475"/>
                    <a:stretch>
                      <a:fillRect/>
                    </a:stretch>
                  </pic:blipFill>
                  <pic:spPr bwMode="auto">
                    <a:xfrm>
                      <a:off x="0" y="0"/>
                      <a:ext cx="4567879" cy="2677310"/>
                    </a:xfrm>
                    <a:prstGeom prst="rect">
                      <a:avLst/>
                    </a:prstGeom>
                    <a:noFill/>
                    <a:ln>
                      <a:noFill/>
                    </a:ln>
                  </pic:spPr>
                </pic:pic>
              </a:graphicData>
            </a:graphic>
          </wp:inline>
        </w:drawing>
      </w:r>
    </w:p>
    <w:p w:rsidR="003926B2" w:rsidRPr="00B76833" w:rsidRDefault="003926B2" w:rsidP="003926B2">
      <w:pPr>
        <w:spacing w:after="120" w:line="240" w:lineRule="auto"/>
        <w:rPr>
          <w:rFonts w:ascii="Arial" w:hAnsi="Arial" w:cs="Arial"/>
          <w:sz w:val="20"/>
          <w:szCs w:val="20"/>
        </w:rPr>
      </w:pPr>
      <w:r w:rsidRPr="009F1EAA">
        <w:rPr>
          <w:rFonts w:ascii="Arial" w:hAnsi="Arial" w:cs="Arial"/>
          <w:b/>
          <w:sz w:val="20"/>
          <w:szCs w:val="20"/>
        </w:rPr>
        <w:t xml:space="preserve">Figure 1. </w:t>
      </w:r>
      <w:r w:rsidRPr="009F1EAA">
        <w:rPr>
          <w:rFonts w:ascii="Arial" w:hAnsi="Arial" w:cs="Arial"/>
          <w:sz w:val="20"/>
          <w:szCs w:val="20"/>
        </w:rPr>
        <w:t xml:space="preserve"> General physical processes related to tropical cyclone rainfall.</w:t>
      </w:r>
    </w:p>
    <w:p w:rsidR="003926B2" w:rsidRPr="003926B2" w:rsidRDefault="003926B2" w:rsidP="003926B2">
      <w:pPr>
        <w:spacing w:after="120" w:line="240" w:lineRule="auto"/>
        <w:rPr>
          <w:rFonts w:ascii="Arial" w:hAnsi="Arial" w:cs="Arial"/>
          <w:sz w:val="20"/>
          <w:szCs w:val="20"/>
        </w:rPr>
      </w:pPr>
      <w:r w:rsidRPr="003926B2">
        <w:rPr>
          <w:rFonts w:ascii="Arial" w:hAnsi="Arial" w:cs="Arial"/>
          <w:sz w:val="20"/>
          <w:szCs w:val="20"/>
        </w:rPr>
        <w:lastRenderedPageBreak/>
        <w:t>Highlights of recent research into tropical cyclone rainfall are summarized in this report.  The first section will contain recent reports on the climatology of TC rainfall in various basins as well as globally.  The next section will contain recent work on rainband dynamics, while the last section will detail work on the impact of environmental interactions on TC rainfall.</w:t>
      </w:r>
    </w:p>
    <w:p w:rsidR="003926B2" w:rsidRPr="003926B2" w:rsidRDefault="003926B2" w:rsidP="003926B2">
      <w:pPr>
        <w:spacing w:after="120" w:line="240" w:lineRule="auto"/>
        <w:rPr>
          <w:rFonts w:ascii="Arial" w:hAnsi="Arial" w:cs="Arial"/>
          <w:b/>
          <w:sz w:val="20"/>
          <w:szCs w:val="20"/>
        </w:rPr>
      </w:pPr>
      <w:r w:rsidRPr="003926B2">
        <w:rPr>
          <w:rFonts w:ascii="Arial" w:hAnsi="Arial" w:cs="Arial"/>
          <w:b/>
          <w:sz w:val="20"/>
          <w:szCs w:val="20"/>
        </w:rPr>
        <w:t>8.1.1.0  Tropical cyclone rainfall and flooding climatology</w:t>
      </w:r>
    </w:p>
    <w:p w:rsidR="003926B2" w:rsidRPr="003926B2" w:rsidRDefault="003926B2" w:rsidP="003926B2">
      <w:pPr>
        <w:spacing w:after="120" w:line="240" w:lineRule="auto"/>
        <w:rPr>
          <w:rFonts w:ascii="Arial" w:hAnsi="Arial" w:cs="Arial"/>
          <w:b/>
          <w:sz w:val="20"/>
          <w:szCs w:val="20"/>
        </w:rPr>
      </w:pPr>
      <w:r w:rsidRPr="003926B2">
        <w:rPr>
          <w:rFonts w:ascii="Arial" w:hAnsi="Arial" w:cs="Arial"/>
          <w:b/>
          <w:sz w:val="20"/>
          <w:szCs w:val="20"/>
        </w:rPr>
        <w:t>8.1.1.1  Global TC rainfall climatology</w:t>
      </w:r>
    </w:p>
    <w:p w:rsidR="003926B2" w:rsidRDefault="003926B2" w:rsidP="00637E95">
      <w:pPr>
        <w:spacing w:after="120" w:line="240" w:lineRule="auto"/>
        <w:ind w:firstLine="720"/>
        <w:rPr>
          <w:rFonts w:ascii="Arial" w:hAnsi="Arial" w:cs="Arial"/>
          <w:sz w:val="20"/>
          <w:szCs w:val="20"/>
        </w:rPr>
      </w:pPr>
      <w:r w:rsidRPr="003926B2">
        <w:rPr>
          <w:rFonts w:ascii="Arial" w:hAnsi="Arial" w:cs="Arial"/>
          <w:sz w:val="20"/>
          <w:szCs w:val="20"/>
        </w:rPr>
        <w:t xml:space="preserve">Tropical cyclones (TCs) have a great impact on the total precipitation over global ocean basins. The contribution of TCs to cumulative precipitation has been investigated in regions such as the North Pacific (Rodgers et al. 2000) and North Atlantic (Rodgers et al. 2001) basins, China including Taiwan and Hainan Islands (Ren et al. 2006), and four mini-basins near coastal southeastern Unites States (Shepherd et al. 2007) etc. More recently, Jiang and Zipser (2010) presented the climatology of TC rainfall and the contribution of TCs to total precipitation using eight years of Tropical Rainfall Measuring Mission (TRMM) data for six TC-prone basins: Atlantic (ATL), east/central Pacific (EPA), northwest Pacific (NWP), North Indian Ocean (NIO), South Indian Ocean (SIO), and South Pacific (SPA). Based on TC rainfall within 500 km from the TC center, they found: 1) TC rain maximum locations are poleward of those for total/non-TC rains, and the maximum TC rain percentage is at the same place as where the TC rain is concentrated in the ATL, NWP, and SIO basins, while it is poleward of the TC rain in the EPA, NIO, and SIO (Fig. 2). 2) TCs contribute 8-9%, 7%, 11%, 5%, 7-8%, 3-4% of the seasonal rainfall to the entire domain of ATL, EPA, NWP, NIO, SIO, and SPA basins, respectively.  </w:t>
      </w:r>
    </w:p>
    <w:p w:rsidR="00977D01" w:rsidRPr="00A72B92" w:rsidRDefault="00977D01" w:rsidP="00977D01">
      <w:r w:rsidRPr="00A72B92">
        <w:rPr>
          <w:noProof/>
        </w:rPr>
        <w:drawing>
          <wp:inline distT="0" distB="0" distL="0" distR="0" wp14:anchorId="60D11643" wp14:editId="504FF177">
            <wp:extent cx="5937250" cy="49441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4944110"/>
                    </a:xfrm>
                    <a:prstGeom prst="rect">
                      <a:avLst/>
                    </a:prstGeom>
                    <a:solidFill>
                      <a:srgbClr val="FFFFFF"/>
                    </a:solidFill>
                    <a:ln>
                      <a:noFill/>
                    </a:ln>
                  </pic:spPr>
                </pic:pic>
              </a:graphicData>
            </a:graphic>
          </wp:inline>
        </w:drawing>
      </w:r>
    </w:p>
    <w:p w:rsidR="00977D01" w:rsidRPr="009F1EAA" w:rsidRDefault="00977D01" w:rsidP="00977D01">
      <w:pPr>
        <w:spacing w:after="120" w:line="240" w:lineRule="auto"/>
        <w:jc w:val="both"/>
        <w:rPr>
          <w:rFonts w:ascii="Arial" w:hAnsi="Arial" w:cs="Arial"/>
          <w:sz w:val="20"/>
          <w:szCs w:val="20"/>
        </w:rPr>
      </w:pPr>
      <w:r w:rsidRPr="009F1EAA">
        <w:rPr>
          <w:rFonts w:ascii="Arial" w:hAnsi="Arial" w:cs="Arial"/>
          <w:b/>
          <w:sz w:val="20"/>
          <w:szCs w:val="20"/>
        </w:rPr>
        <w:lastRenderedPageBreak/>
        <w:t>Figure 2</w:t>
      </w:r>
      <w:r w:rsidRPr="009F1EAA">
        <w:rPr>
          <w:rFonts w:ascii="Arial" w:hAnsi="Arial" w:cs="Arial"/>
          <w:sz w:val="20"/>
          <w:szCs w:val="20"/>
        </w:rPr>
        <w:t>. The TRMM Precipitation Radar (PR) derived 2A25 (a) total rain, (b) non-TC rain, (c) TC rain, and (d) TC rain fraction based on 5° grid averages for the TC season (June-November for ATL, EPA, and NWP basins, and May-June &amp; October-January for the NIO basin) for the years of 1998-2000 and 2002-2006 in the Northern Hemisphere and November-April for the years of 1998/1999-2005/2006 in the Southern Hemisphere. Borders of six basins (ATL, EPA, NWP, NIO, SIO, and SPA) are indicated in (c)</w:t>
      </w:r>
      <w:r w:rsidR="00B76833">
        <w:rPr>
          <w:rFonts w:ascii="Arial" w:hAnsi="Arial" w:cs="Arial"/>
          <w:sz w:val="20"/>
          <w:szCs w:val="20"/>
        </w:rPr>
        <w:t xml:space="preserve"> (Jiang and Zipser 2010).</w:t>
      </w:r>
    </w:p>
    <w:p w:rsidR="00977D01" w:rsidRPr="003926B2" w:rsidRDefault="00977D01" w:rsidP="00637E95">
      <w:pPr>
        <w:spacing w:after="120" w:line="240" w:lineRule="auto"/>
        <w:ind w:firstLine="720"/>
        <w:rPr>
          <w:rFonts w:ascii="Arial" w:hAnsi="Arial" w:cs="Arial"/>
          <w:sz w:val="20"/>
          <w:szCs w:val="20"/>
        </w:rPr>
      </w:pPr>
    </w:p>
    <w:p w:rsidR="003926B2" w:rsidRPr="003926B2" w:rsidRDefault="003926B2" w:rsidP="003926B2">
      <w:pPr>
        <w:spacing w:after="120" w:line="240" w:lineRule="auto"/>
        <w:rPr>
          <w:rFonts w:ascii="Arial" w:hAnsi="Arial" w:cs="Arial"/>
          <w:b/>
          <w:sz w:val="20"/>
          <w:szCs w:val="20"/>
        </w:rPr>
      </w:pPr>
      <w:r w:rsidRPr="003926B2">
        <w:rPr>
          <w:rFonts w:ascii="Arial" w:hAnsi="Arial" w:cs="Arial"/>
          <w:b/>
          <w:sz w:val="20"/>
          <w:szCs w:val="20"/>
        </w:rPr>
        <w:t xml:space="preserve">8.1.1.2  Australia TC rainfall climatology </w:t>
      </w:r>
    </w:p>
    <w:p w:rsidR="003926B2" w:rsidRPr="003926B2" w:rsidRDefault="003926B2" w:rsidP="00637E95">
      <w:pPr>
        <w:spacing w:after="120" w:line="240" w:lineRule="auto"/>
        <w:ind w:firstLine="720"/>
        <w:rPr>
          <w:rFonts w:ascii="Arial" w:hAnsi="Arial" w:cs="Arial"/>
          <w:sz w:val="20"/>
          <w:szCs w:val="20"/>
          <w:lang w:val="en-AU"/>
        </w:rPr>
      </w:pPr>
      <w:r w:rsidRPr="003926B2">
        <w:rPr>
          <w:rFonts w:ascii="Arial" w:hAnsi="Arial" w:cs="Arial"/>
          <w:sz w:val="20"/>
          <w:szCs w:val="20"/>
          <w:lang w:val="en-AU"/>
        </w:rPr>
        <w:t xml:space="preserve">The Australian continent is affected by TCs that form over the Indian and Pacific Oceans, plus TCs that form over the Timor and Arafura Seas directly north of Australia. Approximately 12 TCs are observed within the Australian region 90°E to 160°E each season (McBride and Keenan 1982; Dare and Davidson 2004). Most TCs that affect Australia occur during the 6-month period November to April. In Australia, inland river systems, pastoral enterprises, rural dams, and groundwater can all be recharged by rain from TCs (Middelmann 2007). </w:t>
      </w:r>
    </w:p>
    <w:p w:rsidR="003926B2" w:rsidRPr="003926B2" w:rsidRDefault="003926B2" w:rsidP="00637E95">
      <w:pPr>
        <w:spacing w:after="120" w:line="240" w:lineRule="auto"/>
        <w:ind w:firstLine="720"/>
        <w:rPr>
          <w:rFonts w:ascii="Arial" w:hAnsi="Arial" w:cs="Arial"/>
          <w:sz w:val="20"/>
          <w:szCs w:val="20"/>
          <w:lang w:val="en-AU"/>
        </w:rPr>
      </w:pPr>
      <w:r w:rsidRPr="003926B2">
        <w:rPr>
          <w:rFonts w:ascii="Arial" w:hAnsi="Arial" w:cs="Arial"/>
          <w:sz w:val="20"/>
          <w:szCs w:val="20"/>
          <w:lang w:val="en-AU"/>
        </w:rPr>
        <w:t>The TC contribution to total rainfall over Australia is investigated here by assessing rainfall over the continent within 500 km of the TC track. Locations of TCs for seasons 1969/1970 to 2010/2011 are provided by the Australian Bureau of Meteorology National Climate Centre. Rainfall data are extracted from a 0.05x0.05 degree gridded dataset that covers the Australian continent, which has an extensive network of rain gauges (Jones et al. 2009).</w:t>
      </w:r>
    </w:p>
    <w:p w:rsidR="003926B2" w:rsidRPr="009F1EAA" w:rsidRDefault="003926B2" w:rsidP="00637E95">
      <w:pPr>
        <w:spacing w:after="120" w:line="240" w:lineRule="auto"/>
        <w:ind w:firstLine="720"/>
        <w:rPr>
          <w:rFonts w:ascii="Arial" w:hAnsi="Arial" w:cs="Arial"/>
          <w:lang w:val="en-AU"/>
        </w:rPr>
      </w:pPr>
      <w:r w:rsidRPr="003926B2">
        <w:rPr>
          <w:rFonts w:ascii="Arial" w:hAnsi="Arial" w:cs="Arial"/>
          <w:sz w:val="20"/>
          <w:szCs w:val="20"/>
          <w:lang w:val="en-AU"/>
        </w:rPr>
        <w:t>A total of 491 TCs were observed within the 90ºE-160ºE region and 325 TCs (66%) either crossed the Australian coastline or were located within 500 km of the Australian continent at some time during their lifetime.  Of the 325, 210 (65%) crossed the coastline, while 115 (35%) were close enough (TC center within 500 km of the coast) to potentially contribute rain to the continent (Dare et al. 2012, Fig. 1).</w:t>
      </w:r>
    </w:p>
    <w:p w:rsidR="003926B2" w:rsidRPr="003926B2" w:rsidRDefault="003926B2" w:rsidP="00680219">
      <w:pPr>
        <w:spacing w:after="120" w:line="240" w:lineRule="auto"/>
        <w:ind w:firstLine="720"/>
        <w:rPr>
          <w:sz w:val="20"/>
          <w:szCs w:val="20"/>
          <w:lang w:val="en-AU"/>
        </w:rPr>
      </w:pPr>
      <w:r w:rsidRPr="003926B2">
        <w:rPr>
          <w:rFonts w:ascii="Arial" w:hAnsi="Arial" w:cs="Arial"/>
          <w:sz w:val="20"/>
          <w:szCs w:val="20"/>
          <w:lang w:val="en-AU"/>
        </w:rPr>
        <w:t xml:space="preserve">The season (November to April) volume is used here because it represents, as a single number, the total volume of water produced </w:t>
      </w:r>
      <w:r w:rsidR="00F4598E">
        <w:rPr>
          <w:rFonts w:ascii="Arial" w:hAnsi="Arial" w:cs="Arial"/>
          <w:sz w:val="20"/>
          <w:szCs w:val="20"/>
          <w:lang w:val="en-AU"/>
        </w:rPr>
        <w:t xml:space="preserve">either </w:t>
      </w:r>
      <w:r w:rsidRPr="003926B2">
        <w:rPr>
          <w:rFonts w:ascii="Arial" w:hAnsi="Arial" w:cs="Arial"/>
          <w:sz w:val="20"/>
          <w:szCs w:val="20"/>
          <w:lang w:val="en-AU"/>
        </w:rPr>
        <w:t>by an individual TC (Marchok et al. 2007; Nogueira and Keim 2010; Dare 2013)</w:t>
      </w:r>
      <w:r w:rsidR="00F4598E">
        <w:rPr>
          <w:rFonts w:ascii="Arial" w:hAnsi="Arial" w:cs="Arial"/>
          <w:sz w:val="20"/>
          <w:szCs w:val="20"/>
          <w:lang w:val="en-AU"/>
        </w:rPr>
        <w:t xml:space="preserve"> or also the total volume deposited by all TCs during a season</w:t>
      </w:r>
      <w:r w:rsidRPr="003926B2">
        <w:rPr>
          <w:rFonts w:ascii="Arial" w:hAnsi="Arial" w:cs="Arial"/>
          <w:sz w:val="20"/>
          <w:szCs w:val="20"/>
          <w:lang w:val="en-AU"/>
        </w:rPr>
        <w:t>.</w:t>
      </w:r>
      <w:r w:rsidR="007F7B26">
        <w:rPr>
          <w:rFonts w:ascii="Arial" w:hAnsi="Arial" w:cs="Arial"/>
          <w:sz w:val="20"/>
          <w:szCs w:val="20"/>
          <w:lang w:val="en-AU"/>
        </w:rPr>
        <w:t xml:space="preserve"> </w:t>
      </w:r>
      <w:r w:rsidRPr="003926B2">
        <w:rPr>
          <w:rFonts w:ascii="Arial" w:hAnsi="Arial" w:cs="Arial"/>
          <w:sz w:val="20"/>
          <w:szCs w:val="20"/>
          <w:lang w:val="en-AU"/>
        </w:rPr>
        <w:t xml:space="preserve"> In the Australia region, the mean rain volume produced by each TC is 26 km</w:t>
      </w:r>
      <w:r w:rsidRPr="003926B2">
        <w:rPr>
          <w:rFonts w:ascii="Arial" w:hAnsi="Arial" w:cs="Arial"/>
          <w:sz w:val="20"/>
          <w:szCs w:val="20"/>
          <w:vertAlign w:val="superscript"/>
          <w:lang w:val="en-AU"/>
        </w:rPr>
        <w:t>3</w:t>
      </w:r>
      <w:r w:rsidRPr="003926B2">
        <w:rPr>
          <w:rFonts w:ascii="Arial" w:hAnsi="Arial" w:cs="Arial"/>
          <w:sz w:val="20"/>
          <w:szCs w:val="20"/>
          <w:lang w:val="en-AU"/>
        </w:rPr>
        <w:t>. The seasonal total TC rain volume (SRV) ranges from a minimum of 34 km</w:t>
      </w:r>
      <w:r w:rsidRPr="003926B2">
        <w:rPr>
          <w:rFonts w:ascii="Arial" w:hAnsi="Arial" w:cs="Arial"/>
          <w:sz w:val="20"/>
          <w:szCs w:val="20"/>
          <w:vertAlign w:val="superscript"/>
          <w:lang w:val="en-AU"/>
        </w:rPr>
        <w:t>3</w:t>
      </w:r>
      <w:r w:rsidRPr="003926B2">
        <w:rPr>
          <w:rFonts w:ascii="Arial" w:hAnsi="Arial" w:cs="Arial"/>
          <w:sz w:val="20"/>
          <w:szCs w:val="20"/>
          <w:lang w:val="en-AU"/>
        </w:rPr>
        <w:t xml:space="preserve"> in 1987/1988 to a maximum of 564 km</w:t>
      </w:r>
      <w:r w:rsidRPr="003926B2">
        <w:rPr>
          <w:rFonts w:ascii="Arial" w:hAnsi="Arial" w:cs="Arial"/>
          <w:sz w:val="20"/>
          <w:szCs w:val="20"/>
          <w:vertAlign w:val="superscript"/>
          <w:lang w:val="en-AU"/>
        </w:rPr>
        <w:t>3</w:t>
      </w:r>
      <w:r w:rsidRPr="003926B2">
        <w:rPr>
          <w:rFonts w:ascii="Arial" w:hAnsi="Arial" w:cs="Arial"/>
          <w:sz w:val="20"/>
          <w:szCs w:val="20"/>
          <w:lang w:val="en-AU"/>
        </w:rPr>
        <w:t xml:space="preserve"> in 2000/2001. The mean SRV contributed by TCs is 199±107 km</w:t>
      </w:r>
      <w:r w:rsidRPr="003926B2">
        <w:rPr>
          <w:rFonts w:ascii="Arial" w:hAnsi="Arial" w:cs="Arial"/>
          <w:sz w:val="20"/>
          <w:szCs w:val="20"/>
          <w:vertAlign w:val="superscript"/>
          <w:lang w:val="en-AU"/>
        </w:rPr>
        <w:t>3</w:t>
      </w:r>
      <w:r w:rsidRPr="003926B2">
        <w:rPr>
          <w:rFonts w:ascii="Arial" w:hAnsi="Arial" w:cs="Arial"/>
          <w:sz w:val="20"/>
          <w:szCs w:val="20"/>
          <w:lang w:val="en-AU"/>
        </w:rPr>
        <w:t>. TCs contribute 7.6% to the total rain volume produced by all sources of rain over Australia during the November-April season. This percentage varies with the phase o</w:t>
      </w:r>
      <w:r w:rsidR="00A379BC">
        <w:rPr>
          <w:rFonts w:ascii="Arial" w:hAnsi="Arial" w:cs="Arial"/>
          <w:sz w:val="20"/>
          <w:szCs w:val="20"/>
          <w:lang w:val="en-AU"/>
        </w:rPr>
        <w:t>f</w:t>
      </w:r>
      <w:r w:rsidRPr="003926B2">
        <w:rPr>
          <w:rFonts w:ascii="Arial" w:hAnsi="Arial" w:cs="Arial"/>
          <w:sz w:val="20"/>
          <w:szCs w:val="20"/>
          <w:lang w:val="en-AU"/>
        </w:rPr>
        <w:t xml:space="preserve"> the ENSO, with the largest value during neutral seasons (8.8%), followed by La Nina (7.5%), and El Nino (5.7%). Because these standard deviations are larger than the differences among these percentages, one should be cautious when attempting to relate Australian TC rainfall to</w:t>
      </w:r>
      <w:r w:rsidR="00F4598E">
        <w:rPr>
          <w:rFonts w:ascii="Arial" w:hAnsi="Arial" w:cs="Arial"/>
          <w:sz w:val="20"/>
          <w:szCs w:val="20"/>
          <w:lang w:val="en-AU"/>
        </w:rPr>
        <w:t xml:space="preserve"> the phase of ENSO (Dare 2013).  Although 65</w:t>
      </w:r>
      <w:r w:rsidR="00F4598E" w:rsidRPr="00F4598E">
        <w:rPr>
          <w:rFonts w:ascii="Arial" w:hAnsi="Arial" w:cs="Arial"/>
          <w:sz w:val="20"/>
          <w:szCs w:val="20"/>
          <w:lang w:val="en-AU"/>
        </w:rPr>
        <w:t>% of the 325 TCs cross the coastline, they contribute approximately 94% of the total rain produced by TCs.</w:t>
      </w:r>
      <w:r w:rsidR="00680219">
        <w:rPr>
          <w:rFonts w:ascii="Arial" w:hAnsi="Arial" w:cs="Arial"/>
          <w:sz w:val="20"/>
          <w:szCs w:val="20"/>
          <w:lang w:val="en-AU"/>
        </w:rPr>
        <w:t xml:space="preserve"> </w:t>
      </w:r>
      <w:r w:rsidR="00F4598E" w:rsidRPr="00F4598E">
        <w:rPr>
          <w:rFonts w:ascii="Arial" w:hAnsi="Arial" w:cs="Arial"/>
          <w:sz w:val="20"/>
          <w:szCs w:val="20"/>
          <w:lang w:val="en-AU"/>
        </w:rPr>
        <w:t xml:space="preserve"> </w:t>
      </w:r>
      <w:r w:rsidR="00680219">
        <w:rPr>
          <w:rFonts w:ascii="Arial" w:hAnsi="Arial" w:cs="Arial"/>
          <w:sz w:val="20"/>
          <w:szCs w:val="20"/>
          <w:lang w:val="en-AU"/>
        </w:rPr>
        <w:t>T</w:t>
      </w:r>
      <w:r w:rsidRPr="003926B2">
        <w:rPr>
          <w:rFonts w:ascii="Arial" w:hAnsi="Arial" w:cs="Arial"/>
          <w:sz w:val="20"/>
          <w:szCs w:val="20"/>
          <w:lang w:val="en-AU"/>
        </w:rPr>
        <w:t>he number of TCs in a season is not the most reliable indicator of the total amount of rainfall produced by TCs during a season.  Statistically, the relationship between the number of TCs and the SRV has a correlation coefficient (cc) of 0.52 (Fig. 3) which is significant at the 99% confidence level (cc ≥ 0.393).</w:t>
      </w:r>
      <w:r w:rsidRPr="003926B2">
        <w:rPr>
          <w:sz w:val="20"/>
          <w:szCs w:val="20"/>
          <w:lang w:val="en-AU"/>
        </w:rPr>
        <w:t xml:space="preserve"> </w:t>
      </w:r>
    </w:p>
    <w:p w:rsidR="003926B2" w:rsidRDefault="003926B2" w:rsidP="003926B2">
      <w:pPr>
        <w:jc w:val="center"/>
        <w:rPr>
          <w:b/>
          <w:lang w:val="en-AU"/>
        </w:rPr>
      </w:pPr>
      <w:r w:rsidRPr="00442846">
        <w:rPr>
          <w:noProof/>
        </w:rPr>
        <w:lastRenderedPageBreak/>
        <w:drawing>
          <wp:inline distT="0" distB="0" distL="0" distR="0" wp14:anchorId="25EF3601" wp14:editId="64F77AAF">
            <wp:extent cx="2578708" cy="25175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cc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4704" cy="2523423"/>
                    </a:xfrm>
                    <a:prstGeom prst="rect">
                      <a:avLst/>
                    </a:prstGeom>
                  </pic:spPr>
                </pic:pic>
              </a:graphicData>
            </a:graphic>
          </wp:inline>
        </w:drawing>
      </w:r>
    </w:p>
    <w:p w:rsidR="003926B2" w:rsidRPr="009F1EAA" w:rsidRDefault="003926B2" w:rsidP="003926B2">
      <w:pPr>
        <w:spacing w:after="120" w:line="240" w:lineRule="auto"/>
        <w:jc w:val="both"/>
        <w:rPr>
          <w:rFonts w:ascii="Arial" w:hAnsi="Arial" w:cs="Arial"/>
          <w:sz w:val="20"/>
          <w:szCs w:val="20"/>
          <w:lang w:val="en-AU"/>
        </w:rPr>
      </w:pPr>
      <w:r w:rsidRPr="009F1EAA">
        <w:rPr>
          <w:rFonts w:ascii="Arial" w:hAnsi="Arial" w:cs="Arial"/>
          <w:b/>
          <w:sz w:val="20"/>
          <w:szCs w:val="20"/>
          <w:lang w:val="en-AU"/>
        </w:rPr>
        <w:t>Figure 3</w:t>
      </w:r>
      <w:r w:rsidRPr="009F1EAA">
        <w:rPr>
          <w:rFonts w:ascii="Arial" w:hAnsi="Arial" w:cs="Arial"/>
          <w:sz w:val="20"/>
          <w:szCs w:val="20"/>
          <w:lang w:val="en-AU"/>
        </w:rPr>
        <w:t>:  Season total rain volume in Australia correlated with the total number of TCs observed during a season (n), the number of TCs that make landfall during a season (nLAND), the total time that TCs spend over land during a season (TIME), and the total land area covered by TCs during a season (AREA). The dashed horizontal line indicates the 99% confidence level (Dare 2013).</w:t>
      </w:r>
    </w:p>
    <w:p w:rsidR="003926B2" w:rsidRPr="003926B2" w:rsidRDefault="003926B2" w:rsidP="00637E95">
      <w:pPr>
        <w:spacing w:after="120" w:line="240" w:lineRule="auto"/>
        <w:ind w:firstLine="720"/>
        <w:rPr>
          <w:rFonts w:ascii="Arial" w:hAnsi="Arial" w:cs="Arial"/>
          <w:sz w:val="20"/>
          <w:szCs w:val="20"/>
          <w:lang w:val="en-AU"/>
        </w:rPr>
      </w:pPr>
      <w:r w:rsidRPr="003926B2">
        <w:rPr>
          <w:rFonts w:ascii="Arial" w:hAnsi="Arial" w:cs="Arial"/>
          <w:sz w:val="20"/>
          <w:szCs w:val="20"/>
          <w:lang w:val="en-AU"/>
        </w:rPr>
        <w:t>The total time TCs spent over land during a season correlates very well (cc = 0.79) with the SRV. The seasonal total area covered (based on the area defined by the 500-km radius along the TC track) has the highest correlation (0.84) with SRV (Dare 2013), which is consistent with the correlation of 0.674 between TC area and TC rain volume over the eastern United States found by Nogueira and Keim (2010). Ren et al.(2006) found that the length of TC lifetimes overland, rather than the number of TCs, was the most important factor affecting TC rainfall over China.</w:t>
      </w:r>
    </w:p>
    <w:p w:rsidR="003926B2" w:rsidRPr="003926B2" w:rsidRDefault="003926B2" w:rsidP="00637E95">
      <w:pPr>
        <w:spacing w:after="120" w:line="240" w:lineRule="auto"/>
        <w:ind w:firstLine="720"/>
        <w:rPr>
          <w:rFonts w:ascii="Arial" w:hAnsi="Arial" w:cs="Arial"/>
          <w:sz w:val="20"/>
          <w:szCs w:val="20"/>
          <w:lang w:val="en-AU"/>
        </w:rPr>
      </w:pPr>
      <w:r w:rsidRPr="003926B2">
        <w:rPr>
          <w:rFonts w:ascii="Arial" w:hAnsi="Arial" w:cs="Arial"/>
          <w:sz w:val="20"/>
          <w:szCs w:val="20"/>
          <w:lang w:val="en-AU"/>
        </w:rPr>
        <w:t>While the largest values of monthly mean rainfall over the 6-month period occur north of 20°S (Fig. 4a), these rain amounts are mainly due to the contribution of the Australian monsoon (McBride 1987, 1998). For TC rainfall, the largest monthly mean values are found along the northern coastline between 120°E and 150°E, with most amounts above 20 mm (Fig. 4b). These TC rain values appear to be small because they are monthly mean amounts averaged over a 6-month period.</w:t>
      </w:r>
    </w:p>
    <w:p w:rsidR="003926B2" w:rsidRPr="003926B2" w:rsidRDefault="003926B2" w:rsidP="00637E95">
      <w:pPr>
        <w:spacing w:after="120" w:line="240" w:lineRule="auto"/>
        <w:ind w:firstLine="720"/>
        <w:rPr>
          <w:rFonts w:ascii="Arial" w:hAnsi="Arial" w:cs="Arial"/>
          <w:sz w:val="20"/>
          <w:szCs w:val="20"/>
          <w:lang w:val="en-AU"/>
        </w:rPr>
      </w:pPr>
      <w:r w:rsidRPr="003926B2">
        <w:rPr>
          <w:rFonts w:ascii="Arial" w:hAnsi="Arial" w:cs="Arial"/>
          <w:sz w:val="20"/>
          <w:szCs w:val="20"/>
          <w:lang w:val="en-AU"/>
        </w:rPr>
        <w:t xml:space="preserve">Thus, the percentage of total rainfall contributed by TCs (Fig. 4c) along the northern coastline from 125° to 150°E is only </w:t>
      </w:r>
      <w:r w:rsidR="00680219">
        <w:rPr>
          <w:rFonts w:ascii="Arial" w:hAnsi="Arial" w:cs="Arial"/>
          <w:sz w:val="20"/>
          <w:szCs w:val="20"/>
          <w:lang w:val="en-AU"/>
        </w:rPr>
        <w:t xml:space="preserve">about </w:t>
      </w:r>
      <w:r w:rsidRPr="003926B2">
        <w:rPr>
          <w:rFonts w:ascii="Arial" w:hAnsi="Arial" w:cs="Arial"/>
          <w:sz w:val="20"/>
          <w:szCs w:val="20"/>
          <w:lang w:val="en-AU"/>
        </w:rPr>
        <w:t xml:space="preserve">10% of the total seasonal rainfall. However, values along the coastline west of 125°E are above 20%, and near the </w:t>
      </w:r>
      <w:r w:rsidR="00680219">
        <w:rPr>
          <w:rFonts w:ascii="Arial" w:hAnsi="Arial" w:cs="Arial"/>
          <w:sz w:val="20"/>
          <w:szCs w:val="20"/>
          <w:lang w:val="en-AU"/>
        </w:rPr>
        <w:t xml:space="preserve">northwest Australia </w:t>
      </w:r>
      <w:r w:rsidRPr="003926B2">
        <w:rPr>
          <w:rFonts w:ascii="Arial" w:hAnsi="Arial" w:cs="Arial"/>
          <w:sz w:val="20"/>
          <w:szCs w:val="20"/>
          <w:lang w:val="en-AU"/>
        </w:rPr>
        <w:t>coast TCs contribute as much as 40% of the seasonal rainfall. These values are consistent with results found by McBride (1983), Jiang and Zipser (2010), Dare et al. (2012), and Lavender and Abbs (2013).</w:t>
      </w:r>
    </w:p>
    <w:p w:rsidR="003926B2" w:rsidRDefault="003926B2" w:rsidP="003926B2">
      <w:pPr>
        <w:jc w:val="center"/>
        <w:rPr>
          <w:b/>
          <w:lang w:val="en-AU"/>
        </w:rPr>
      </w:pPr>
      <w:r w:rsidRPr="00152E8A">
        <w:rPr>
          <w:noProof/>
        </w:rPr>
        <w:lastRenderedPageBreak/>
        <w:drawing>
          <wp:inline distT="0" distB="0" distL="0" distR="0" wp14:anchorId="052A7FDE" wp14:editId="4A781787">
            <wp:extent cx="3420094" cy="3251097"/>
            <wp:effectExtent l="0" t="0" r="952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rain_all_tc_perc_6month2_enso0_ress0_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3316" cy="3254160"/>
                    </a:xfrm>
                    <a:prstGeom prst="rect">
                      <a:avLst/>
                    </a:prstGeom>
                  </pic:spPr>
                </pic:pic>
              </a:graphicData>
            </a:graphic>
          </wp:inline>
        </w:drawing>
      </w:r>
    </w:p>
    <w:p w:rsidR="003926B2" w:rsidRPr="009F1EAA" w:rsidRDefault="003926B2" w:rsidP="003926B2">
      <w:pPr>
        <w:spacing w:after="120" w:line="240" w:lineRule="auto"/>
        <w:jc w:val="both"/>
        <w:rPr>
          <w:rFonts w:ascii="Arial" w:hAnsi="Arial" w:cs="Arial"/>
          <w:sz w:val="20"/>
          <w:szCs w:val="20"/>
          <w:lang w:val="en-AU"/>
        </w:rPr>
      </w:pPr>
      <w:r w:rsidRPr="009F1EAA">
        <w:rPr>
          <w:rFonts w:ascii="Arial" w:hAnsi="Arial" w:cs="Arial"/>
          <w:b/>
          <w:sz w:val="20"/>
          <w:szCs w:val="20"/>
          <w:lang w:val="en-AU"/>
        </w:rPr>
        <w:t>Figure 4</w:t>
      </w:r>
      <w:r w:rsidR="00E746F5">
        <w:rPr>
          <w:rFonts w:ascii="Arial" w:eastAsiaTheme="minorEastAsia" w:hAnsi="Arial" w:cs="Arial" w:hint="eastAsia"/>
          <w:sz w:val="20"/>
          <w:szCs w:val="20"/>
          <w:lang w:val="en-AU" w:eastAsia="zh-CN"/>
        </w:rPr>
        <w:t>.</w:t>
      </w:r>
      <w:r w:rsidR="00E746F5" w:rsidRPr="009F1EAA">
        <w:rPr>
          <w:rFonts w:ascii="Arial" w:hAnsi="Arial" w:cs="Arial"/>
          <w:sz w:val="20"/>
          <w:szCs w:val="20"/>
          <w:lang w:val="en-AU"/>
        </w:rPr>
        <w:t xml:space="preserve"> </w:t>
      </w:r>
      <w:r w:rsidRPr="009F1EAA">
        <w:rPr>
          <w:rFonts w:ascii="Arial" w:hAnsi="Arial" w:cs="Arial"/>
          <w:sz w:val="20"/>
          <w:szCs w:val="20"/>
          <w:lang w:val="en-AU"/>
        </w:rPr>
        <w:t>The mean amount of rain per month (mm/month) in Australia for (a) all rain, (b)TC rain, and (c) the percentage of the all rain amount that is due to TCs, over the 6-month season November-April (Dare et al. 2012).</w:t>
      </w:r>
    </w:p>
    <w:p w:rsidR="003926B2" w:rsidRPr="003926B2" w:rsidRDefault="003926B2" w:rsidP="00637E95">
      <w:pPr>
        <w:spacing w:after="120" w:line="240" w:lineRule="auto"/>
        <w:ind w:firstLine="720"/>
        <w:rPr>
          <w:rFonts w:ascii="Arial" w:hAnsi="Arial" w:cs="Arial"/>
          <w:sz w:val="20"/>
          <w:szCs w:val="20"/>
          <w:lang w:val="en-AU"/>
        </w:rPr>
      </w:pPr>
      <w:r w:rsidRPr="003926B2">
        <w:rPr>
          <w:rFonts w:ascii="Arial" w:hAnsi="Arial" w:cs="Arial"/>
          <w:sz w:val="20"/>
          <w:szCs w:val="20"/>
          <w:lang w:val="en-AU"/>
        </w:rPr>
        <w:t>TC rainfall generally decreases with distance inland from the coast, as TCs generally weaken after making landfall. The distance from the Australian coast at which the TC rain within each 5° longitude band is reduced to half of its respective coastal value is sh</w:t>
      </w:r>
      <w:r w:rsidR="00A1525B">
        <w:rPr>
          <w:rFonts w:ascii="Arial" w:hAnsi="Arial" w:cs="Arial"/>
          <w:sz w:val="20"/>
          <w:szCs w:val="20"/>
          <w:lang w:val="en-AU"/>
        </w:rPr>
        <w:t>own in Figure 5</w:t>
      </w:r>
      <w:r w:rsidRPr="003926B2">
        <w:rPr>
          <w:rFonts w:ascii="Arial" w:hAnsi="Arial" w:cs="Arial"/>
          <w:sz w:val="20"/>
          <w:szCs w:val="20"/>
          <w:lang w:val="en-AU"/>
        </w:rPr>
        <w:t xml:space="preserve"> from Dare et al. (2012). While the distances in the west generally exceed 200 km, they are less than 100 km in the east. This penetration of TC-related rain farther inland over the western continent </w:t>
      </w:r>
      <w:r w:rsidR="00A1525B">
        <w:rPr>
          <w:rFonts w:ascii="Arial" w:hAnsi="Arial" w:cs="Arial"/>
          <w:sz w:val="20"/>
          <w:szCs w:val="20"/>
          <w:lang w:val="en-AU"/>
        </w:rPr>
        <w:t>is</w:t>
      </w:r>
      <w:r w:rsidRPr="003926B2">
        <w:rPr>
          <w:rFonts w:ascii="Arial" w:hAnsi="Arial" w:cs="Arial"/>
          <w:sz w:val="20"/>
          <w:szCs w:val="20"/>
          <w:lang w:val="en-AU"/>
        </w:rPr>
        <w:t xml:space="preserve"> expected considering the distribution of TC tracks (e.g., Figure 1, Dare et al. 2012). Interactions of TCs with midlatitude cold fronts near the west coast of Australia (Foley and Hanstrum 1994) may also contribute to this pattern.</w:t>
      </w:r>
    </w:p>
    <w:p w:rsidR="003926B2" w:rsidRDefault="003926B2" w:rsidP="003926B2">
      <w:pPr>
        <w:jc w:val="center"/>
        <w:rPr>
          <w:b/>
          <w:lang w:val="en-AU"/>
        </w:rPr>
      </w:pPr>
      <w:r w:rsidRPr="00D651E9">
        <w:rPr>
          <w:noProof/>
        </w:rPr>
        <w:drawing>
          <wp:inline distT="0" distB="0" distL="0" distR="0" wp14:anchorId="7C2B7280" wp14:editId="29D49E40">
            <wp:extent cx="2897579" cy="218297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inland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421" cy="2181349"/>
                    </a:xfrm>
                    <a:prstGeom prst="rect">
                      <a:avLst/>
                    </a:prstGeom>
                  </pic:spPr>
                </pic:pic>
              </a:graphicData>
            </a:graphic>
          </wp:inline>
        </w:drawing>
      </w:r>
    </w:p>
    <w:p w:rsidR="003926B2" w:rsidRPr="009F1EAA" w:rsidRDefault="003926B2" w:rsidP="003926B2">
      <w:pPr>
        <w:spacing w:after="120" w:line="240" w:lineRule="auto"/>
        <w:jc w:val="both"/>
        <w:rPr>
          <w:rFonts w:ascii="Arial" w:hAnsi="Arial" w:cs="Arial"/>
          <w:sz w:val="20"/>
          <w:szCs w:val="20"/>
          <w:lang w:val="en-AU"/>
        </w:rPr>
      </w:pPr>
      <w:r w:rsidRPr="009F1EAA">
        <w:rPr>
          <w:rFonts w:ascii="Arial" w:hAnsi="Arial" w:cs="Arial"/>
          <w:b/>
          <w:sz w:val="20"/>
          <w:szCs w:val="20"/>
          <w:lang w:val="en-AU"/>
        </w:rPr>
        <w:t>Figure 5</w:t>
      </w:r>
      <w:r w:rsidR="00E746F5">
        <w:rPr>
          <w:rFonts w:ascii="Arial" w:eastAsiaTheme="minorEastAsia" w:hAnsi="Arial" w:cs="Arial" w:hint="eastAsia"/>
          <w:sz w:val="20"/>
          <w:szCs w:val="20"/>
          <w:lang w:val="en-AU" w:eastAsia="zh-CN"/>
        </w:rPr>
        <w:t>.</w:t>
      </w:r>
      <w:r w:rsidR="00E746F5" w:rsidRPr="009F1EAA">
        <w:rPr>
          <w:rFonts w:ascii="Arial" w:hAnsi="Arial" w:cs="Arial"/>
          <w:sz w:val="20"/>
          <w:szCs w:val="20"/>
          <w:lang w:val="en-AU"/>
        </w:rPr>
        <w:t xml:space="preserve">  </w:t>
      </w:r>
      <w:r w:rsidRPr="009F1EAA">
        <w:rPr>
          <w:rFonts w:ascii="Arial" w:hAnsi="Arial" w:cs="Arial"/>
          <w:sz w:val="20"/>
          <w:szCs w:val="20"/>
          <w:lang w:val="en-AU"/>
        </w:rPr>
        <w:t>Distance inland from coast of Australia within each 5º longitude band where the TC rain amount falls to half of the coastal value observed within the same longitude band. Updated from Dare et al. (2012).</w:t>
      </w:r>
    </w:p>
    <w:p w:rsidR="003926B2" w:rsidRPr="00D651E9" w:rsidRDefault="003926B2" w:rsidP="003926B2">
      <w:pPr>
        <w:spacing w:after="120" w:line="240" w:lineRule="auto"/>
        <w:jc w:val="both"/>
        <w:rPr>
          <w:lang w:val="en-AU"/>
        </w:rPr>
      </w:pPr>
    </w:p>
    <w:p w:rsidR="003926B2" w:rsidRPr="003926B2" w:rsidRDefault="003926B2" w:rsidP="003926B2">
      <w:pPr>
        <w:spacing w:after="120" w:line="240" w:lineRule="auto"/>
        <w:rPr>
          <w:rFonts w:ascii="Arial" w:hAnsi="Arial" w:cs="Arial"/>
          <w:b/>
          <w:sz w:val="20"/>
          <w:szCs w:val="20"/>
        </w:rPr>
      </w:pPr>
      <w:r w:rsidRPr="003926B2">
        <w:rPr>
          <w:rFonts w:ascii="Arial" w:hAnsi="Arial" w:cs="Arial"/>
          <w:b/>
          <w:sz w:val="20"/>
          <w:szCs w:val="20"/>
        </w:rPr>
        <w:lastRenderedPageBreak/>
        <w:t>8.1.1.3  China TC rainfall climatology</w:t>
      </w:r>
    </w:p>
    <w:p w:rsidR="003926B2" w:rsidRPr="003926B2" w:rsidRDefault="003926B2" w:rsidP="00637E95">
      <w:pPr>
        <w:autoSpaceDE w:val="0"/>
        <w:autoSpaceDN w:val="0"/>
        <w:adjustRightInd w:val="0"/>
        <w:spacing w:after="120" w:line="240" w:lineRule="auto"/>
        <w:ind w:firstLine="720"/>
        <w:rPr>
          <w:sz w:val="20"/>
          <w:szCs w:val="20"/>
        </w:rPr>
      </w:pPr>
      <w:r w:rsidRPr="003926B2">
        <w:rPr>
          <w:rFonts w:ascii="Arial" w:hAnsi="Arial" w:cs="Arial"/>
          <w:sz w:val="20"/>
          <w:szCs w:val="20"/>
        </w:rPr>
        <w:t>While TC-related rainfall can affect more than half of mainland China, the annual TC rainfall generally decreases northwestward (Fig. 6a). The TC rainfall above 50 mm per year occurs mainly south of the Yangtze River. In the coastal provinces of southern and southeastern China, the TC rainfall exceeds 100 mm per year. In the southern coastal areas (Guangdong Province and Hainan Island), the TC rainfall is generally more than 300 mm per year. Studies including or not including rainfall related to tropical depressions have similar spatial distributions of the annual TC rainfall in mainland China (Ren et al., 2006; Cheng et al., 2007; Zhang et al., 2013). TC rainfall contributes more than 10% of the annual rainfall in the southeastern coastal areas of mainland China, and becomes more important during the typhoon peak season (July-September). TC rainfall could account for more than 20% of the summer rainfall in the coastal provinces of southern and southeastern China (Fig. 6b).</w:t>
      </w:r>
    </w:p>
    <w:p w:rsidR="003926B2" w:rsidRDefault="003926B2" w:rsidP="003926B2">
      <w:pPr>
        <w:autoSpaceDE w:val="0"/>
        <w:autoSpaceDN w:val="0"/>
        <w:adjustRightInd w:val="0"/>
        <w:jc w:val="center"/>
        <w:rPr>
          <w:sz w:val="24"/>
          <w:szCs w:val="24"/>
        </w:rPr>
      </w:pPr>
      <w:r w:rsidRPr="00EA4B3C">
        <w:rPr>
          <w:noProof/>
          <w:szCs w:val="21"/>
        </w:rPr>
        <mc:AlternateContent>
          <mc:Choice Requires="wps">
            <w:drawing>
              <wp:anchor distT="0" distB="0" distL="114300" distR="114300" simplePos="0" relativeHeight="251659264" behindDoc="0" locked="0" layoutInCell="1" allowOverlap="1" wp14:anchorId="5CC7B991" wp14:editId="7526D1FB">
                <wp:simplePos x="0" y="0"/>
                <wp:positionH relativeFrom="column">
                  <wp:posOffset>2838450</wp:posOffset>
                </wp:positionH>
                <wp:positionV relativeFrom="paragraph">
                  <wp:posOffset>131582</wp:posOffset>
                </wp:positionV>
                <wp:extent cx="340995" cy="1403985"/>
                <wp:effectExtent l="0" t="0" r="1905" b="635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403985"/>
                        </a:xfrm>
                        <a:prstGeom prst="rect">
                          <a:avLst/>
                        </a:prstGeom>
                        <a:solidFill>
                          <a:srgbClr val="FFFFFF"/>
                        </a:solidFill>
                        <a:ln w="9525">
                          <a:noFill/>
                          <a:miter lim="800000"/>
                          <a:headEnd/>
                          <a:tailEnd/>
                        </a:ln>
                      </wps:spPr>
                      <wps:txbx>
                        <w:txbxContent>
                          <w:p w:rsidR="00EC65B9" w:rsidRPr="008030E9" w:rsidRDefault="00EC65B9" w:rsidP="003926B2">
                            <w:pPr>
                              <w:rPr>
                                <w:sz w:val="18"/>
                                <w:szCs w:val="18"/>
                              </w:rPr>
                            </w:pPr>
                            <w:r w:rsidRPr="008030E9">
                              <w:rPr>
                                <w:rFonts w:hint="eastAsia"/>
                                <w:sz w:val="18"/>
                                <w:szCs w:val="1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23.5pt;margin-top:10.35pt;width:26.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WqLwIAABwEAAAOAAAAZHJzL2Uyb0RvYy54bWysU82OEzEMviPxDlHudKbdFtpRp6ulSxHS&#10;8iMtPEAmk+lEJHFI0s4sDwBvwIkLd56rz4GT6XYL3BA5RHZsf7E/28vLXiuyF85LMCUdj3JKhOFQ&#10;S7Mt6Yf3mydzSnxgpmYKjCjpnfD0cvX40bKzhZhAC6oWjiCI8UVnS9qGYIss87wVmvkRWGHQ2IDT&#10;LKDqtlntWIfoWmWTPH+adeBq64AL7/H1ejDSVcJvGsHD26bxIhBVUswtpNulu4p3tlqyYuuYbSU/&#10;psH+IQvNpMFPT1DXLDCyc/IvKC25Aw9NGHHQGTSN5CLVgNWM8z+quW2ZFakWJMfbE03+/8HyN/t3&#10;jsi6pAtKDNPYosO3r4fvPw8/vpBJpKezvkCvW4t+oX8OPbY5lertDfCPnhhYt8xsxZVz0LWC1Zje&#10;OEZmZ6EDjo8gVfcaavyH7QIkoL5xOnKHbBBExzbdnVoj+kA4Pl5M88ViRglH03iaXyzms/QFK+6j&#10;rfPhpQBNolBSh61P6Gx/40PMhhX3LvEzD0rWG6lUUty2WitH9gzHZJPOEf03N2VIh0TNJrOEbCDG&#10;pwnSMuAYK6lLOs/jieGsiGy8MHWSA5NqkDETZY70REYGbkJf9egYOaugvkOiHAzjiuuFQgvuMyUd&#10;jmpJ/acdc4IS9cog2YvxdBpnOynT2bMJKu7cUp1bmOEIVdJAySCuQ9qHxIO9wqZsZOLrIZNjrjiC&#10;icbjusQZP9eT18NSr34BAAD//wMAUEsDBBQABgAIAAAAIQDm4CQ13wAAAAoBAAAPAAAAZHJzL2Rv&#10;d25yZXYueG1sTI/BTsMwEETvSPyDtZW4UbtVSqsQp6qouHBAokWCoxs7cdR4bdluGv6e7Qluuzuj&#10;2TfVdnIDG01MvUcJi7kAZrDxusdOwufx9XEDLGWFWg0ejYQfk2Bb399VqtT+ih9mPOSOUQimUkmw&#10;OYeS89RY41Sa+2CQtNZHpzKtseM6qiuFu4EvhXjiTvVIH6wK5sWa5ny4OAlfzvZ6H9+/Wz2M+7d2&#10;twpTDFI+zKbdM7Bspvxnhhs+oUNNTCd/QZ3YIKEo1tQlS1iKNTAyrMRtONGhWGyA1xX/X6H+BQAA&#10;//8DAFBLAQItABQABgAIAAAAIQC2gziS/gAAAOEBAAATAAAAAAAAAAAAAAAAAAAAAABbQ29udGVu&#10;dF9UeXBlc10ueG1sUEsBAi0AFAAGAAgAAAAhADj9If/WAAAAlAEAAAsAAAAAAAAAAAAAAAAALwEA&#10;AF9yZWxzLy5yZWxzUEsBAi0AFAAGAAgAAAAhAPZG5aovAgAAHAQAAA4AAAAAAAAAAAAAAAAALgIA&#10;AGRycy9lMm9Eb2MueG1sUEsBAi0AFAAGAAgAAAAhAObgJDXfAAAACgEAAA8AAAAAAAAAAAAAAAAA&#10;iQQAAGRycy9kb3ducmV2LnhtbFBLBQYAAAAABAAEAPMAAACVBQAAAAA=&#10;" stroked="f">
                <v:textbox style="mso-fit-shape-to-text:t">
                  <w:txbxContent>
                    <w:p w:rsidR="00EC65B9" w:rsidRPr="008030E9" w:rsidRDefault="00EC65B9" w:rsidP="003926B2">
                      <w:pPr>
                        <w:rPr>
                          <w:sz w:val="18"/>
                          <w:szCs w:val="18"/>
                        </w:rPr>
                      </w:pPr>
                      <w:r w:rsidRPr="008030E9">
                        <w:rPr>
                          <w:rFonts w:hint="eastAsia"/>
                          <w:sz w:val="18"/>
                          <w:szCs w:val="18"/>
                        </w:rPr>
                        <w:t>(b)</w:t>
                      </w:r>
                    </w:p>
                  </w:txbxContent>
                </v:textbox>
              </v:shape>
            </w:pict>
          </mc:Fallback>
        </mc:AlternateContent>
      </w:r>
      <w:r>
        <w:rPr>
          <w:noProof/>
          <w:sz w:val="24"/>
          <w:szCs w:val="24"/>
        </w:rPr>
        <w:drawing>
          <wp:inline distT="0" distB="0" distL="0" distR="0" wp14:anchorId="6D527002" wp14:editId="0E9FF73D">
            <wp:extent cx="2545492" cy="1482811"/>
            <wp:effectExtent l="0" t="0" r="762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9885"/>
                    <a:stretch/>
                  </pic:blipFill>
                  <pic:spPr bwMode="auto">
                    <a:xfrm>
                      <a:off x="0" y="0"/>
                      <a:ext cx="2551468" cy="148629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29DC920A" wp14:editId="0DDB49ED">
            <wp:extent cx="2545491" cy="1485913"/>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781"/>
                    <a:stretch/>
                  </pic:blipFill>
                  <pic:spPr bwMode="auto">
                    <a:xfrm>
                      <a:off x="0" y="0"/>
                      <a:ext cx="2551468" cy="1489402"/>
                    </a:xfrm>
                    <a:prstGeom prst="rect">
                      <a:avLst/>
                    </a:prstGeom>
                    <a:noFill/>
                    <a:ln>
                      <a:noFill/>
                    </a:ln>
                    <a:extLst>
                      <a:ext uri="{53640926-AAD7-44D8-BBD7-CCE9431645EC}">
                        <a14:shadowObscured xmlns:a14="http://schemas.microsoft.com/office/drawing/2010/main"/>
                      </a:ext>
                    </a:extLst>
                  </pic:spPr>
                </pic:pic>
              </a:graphicData>
            </a:graphic>
          </wp:inline>
        </w:drawing>
      </w:r>
    </w:p>
    <w:p w:rsidR="003926B2" w:rsidRPr="00CA201E" w:rsidRDefault="003926B2" w:rsidP="00CA201E">
      <w:pPr>
        <w:autoSpaceDE w:val="0"/>
        <w:autoSpaceDN w:val="0"/>
        <w:adjustRightInd w:val="0"/>
        <w:spacing w:after="120" w:line="240" w:lineRule="auto"/>
        <w:jc w:val="both"/>
        <w:rPr>
          <w:rFonts w:ascii="Arial" w:hAnsi="Arial" w:cs="Arial"/>
          <w:sz w:val="20"/>
          <w:szCs w:val="20"/>
        </w:rPr>
      </w:pPr>
      <w:r w:rsidRPr="009F1EAA">
        <w:rPr>
          <w:rFonts w:ascii="Arial" w:hAnsi="Arial" w:cs="Arial"/>
          <w:b/>
          <w:sz w:val="20"/>
          <w:szCs w:val="20"/>
        </w:rPr>
        <w:t>Figure 6</w:t>
      </w:r>
      <w:r w:rsidRPr="009F1EAA">
        <w:rPr>
          <w:rFonts w:ascii="Arial" w:hAnsi="Arial" w:cs="Arial"/>
          <w:sz w:val="20"/>
          <w:szCs w:val="20"/>
        </w:rPr>
        <w:t>.  TC rainfall distribution in China:  (a) Annual TC precipitation (mm) and (b) the percentage (%) of annual rainfall attributable to TCs during 1965-2009</w:t>
      </w:r>
      <w:r>
        <w:rPr>
          <w:rFonts w:ascii="Arial" w:hAnsi="Arial" w:cs="Arial"/>
          <w:sz w:val="20"/>
          <w:szCs w:val="20"/>
        </w:rPr>
        <w:t xml:space="preserve"> </w:t>
      </w:r>
      <w:r w:rsidRPr="009F1EAA">
        <w:rPr>
          <w:rFonts w:ascii="Arial" w:hAnsi="Arial" w:cs="Arial"/>
          <w:sz w:val="20"/>
          <w:szCs w:val="20"/>
        </w:rPr>
        <w:t>(Zhang et al. 2013, Fig. 3a, c).</w:t>
      </w:r>
    </w:p>
    <w:p w:rsidR="003926B2" w:rsidRPr="00637E95" w:rsidRDefault="003926B2" w:rsidP="00637E95">
      <w:pPr>
        <w:autoSpaceDE w:val="0"/>
        <w:autoSpaceDN w:val="0"/>
        <w:adjustRightInd w:val="0"/>
        <w:spacing w:after="120" w:line="240" w:lineRule="auto"/>
        <w:ind w:firstLine="720"/>
        <w:rPr>
          <w:rFonts w:ascii="Arial" w:hAnsi="Arial" w:cs="Arial"/>
          <w:sz w:val="20"/>
          <w:szCs w:val="20"/>
        </w:rPr>
      </w:pPr>
      <w:r w:rsidRPr="00637E95">
        <w:rPr>
          <w:rFonts w:ascii="Arial" w:hAnsi="Arial" w:cs="Arial"/>
          <w:sz w:val="20"/>
          <w:szCs w:val="20"/>
        </w:rPr>
        <w:t>TC-related rainfall in mainland China has a distinct seasonal variation (Fig. 7)</w:t>
      </w:r>
      <w:r w:rsidR="00637E95" w:rsidRPr="00637E95">
        <w:rPr>
          <w:rFonts w:ascii="Arial" w:hAnsi="Arial" w:cs="Arial"/>
          <w:sz w:val="20"/>
          <w:szCs w:val="20"/>
        </w:rPr>
        <w:t xml:space="preserve"> </w:t>
      </w:r>
      <w:r w:rsidRPr="00637E95">
        <w:rPr>
          <w:rFonts w:ascii="Arial" w:hAnsi="Arial" w:cs="Arial"/>
          <w:sz w:val="20"/>
          <w:szCs w:val="20"/>
        </w:rPr>
        <w:t xml:space="preserve"> with a gradual increase from April, and a rapid increase from July. While TC-related rainfall is a maximum in August, there is a rapid decrease from October onward, although there is still some TC precipitation in November and December (Ren et al. 2011).</w:t>
      </w:r>
    </w:p>
    <w:p w:rsidR="003926B2" w:rsidRDefault="003926B2" w:rsidP="003926B2">
      <w:pPr>
        <w:autoSpaceDE w:val="0"/>
        <w:autoSpaceDN w:val="0"/>
        <w:adjustRightInd w:val="0"/>
        <w:jc w:val="center"/>
        <w:rPr>
          <w:sz w:val="24"/>
          <w:szCs w:val="24"/>
        </w:rPr>
      </w:pPr>
      <w:r>
        <w:rPr>
          <w:noProof/>
          <w:sz w:val="24"/>
          <w:szCs w:val="24"/>
        </w:rPr>
        <w:drawing>
          <wp:inline distT="0" distB="0" distL="0" distR="0" wp14:anchorId="30AFB6BB" wp14:editId="6001EF29">
            <wp:extent cx="2293414" cy="15297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3461" cy="1529756"/>
                    </a:xfrm>
                    <a:prstGeom prst="rect">
                      <a:avLst/>
                    </a:prstGeom>
                    <a:noFill/>
                    <a:ln>
                      <a:noFill/>
                    </a:ln>
                  </pic:spPr>
                </pic:pic>
              </a:graphicData>
            </a:graphic>
          </wp:inline>
        </w:drawing>
      </w:r>
    </w:p>
    <w:p w:rsidR="003926B2" w:rsidRPr="00CA201E" w:rsidRDefault="003926B2" w:rsidP="00CA201E">
      <w:pPr>
        <w:autoSpaceDE w:val="0"/>
        <w:autoSpaceDN w:val="0"/>
        <w:adjustRightInd w:val="0"/>
        <w:spacing w:after="120" w:line="240" w:lineRule="auto"/>
        <w:jc w:val="both"/>
        <w:rPr>
          <w:rFonts w:ascii="Arial" w:hAnsi="Arial" w:cs="Arial"/>
          <w:sz w:val="20"/>
          <w:szCs w:val="20"/>
        </w:rPr>
      </w:pPr>
      <w:r w:rsidRPr="009F1EAA">
        <w:rPr>
          <w:rFonts w:ascii="Arial" w:hAnsi="Arial" w:cs="Arial"/>
          <w:b/>
          <w:sz w:val="20"/>
          <w:szCs w:val="20"/>
        </w:rPr>
        <w:t>Figure 7</w:t>
      </w:r>
      <w:r w:rsidRPr="009F1EAA">
        <w:rPr>
          <w:rFonts w:ascii="Arial" w:hAnsi="Arial" w:cs="Arial"/>
          <w:sz w:val="20"/>
          <w:szCs w:val="20"/>
        </w:rPr>
        <w:t>.  Multi-year averaged TC-related rainfall in mainland China by month  (Ren et al. 2011, Fig. 3.3a).</w:t>
      </w:r>
    </w:p>
    <w:p w:rsidR="003926B2" w:rsidRPr="00CA201E" w:rsidRDefault="003926B2" w:rsidP="00CA201E">
      <w:pPr>
        <w:autoSpaceDE w:val="0"/>
        <w:autoSpaceDN w:val="0"/>
        <w:adjustRightInd w:val="0"/>
        <w:spacing w:after="120" w:line="240" w:lineRule="auto"/>
        <w:rPr>
          <w:rFonts w:ascii="Arial" w:hAnsi="Arial" w:cs="Arial"/>
          <w:sz w:val="20"/>
          <w:szCs w:val="20"/>
        </w:rPr>
      </w:pPr>
      <w:r w:rsidRPr="00CA201E">
        <w:rPr>
          <w:rFonts w:ascii="Arial" w:hAnsi="Arial" w:cs="Arial"/>
          <w:b/>
          <w:sz w:val="20"/>
          <w:szCs w:val="20"/>
        </w:rPr>
        <w:t>8.1.1.4  Taiwan TC rainfall climatology</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 xml:space="preserve">In Taiwan, an incoming tropical cyclone (TC) during summer (Jun.-Aug.) may interact with seasonal southwesterly flows to induce prolonged heavy rainfall during the landfall and post-landfall periods, often leading to significant floods. TC-southwesterly flow interactions mainly occur in two types of TC tracks: northwestward movement through northern Taiwan (i.e., type-2 track) and northward movements along the ocean off the eastern coast (i.e., type-6 track). TC-southwesterly flow interactions and associated rainfall amounts in Taiwan are found to be systematically modulated by the intraseasonal oscillation (ISO). </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 xml:space="preserve">For a type-6 TC track with prolonged heavy rainfall, the TC-southwesterly flow interaction features a meridional pair of low-level anomalous cyclonic and anticyclonic circulations of both 30-60 day </w:t>
      </w:r>
      <w:r w:rsidRPr="00CA201E">
        <w:rPr>
          <w:rFonts w:ascii="Arial" w:hAnsi="Arial" w:cs="Arial"/>
          <w:sz w:val="20"/>
          <w:szCs w:val="20"/>
        </w:rPr>
        <w:lastRenderedPageBreak/>
        <w:t>and 10-24-day oscillations progressing northward from the tropics toward Taiwan. During landfall and the ensuing few days, Taiwan has a cyclonic anomaly to the north and an anticyclonic anomaly to the south associated with two ISOs. Both anomaly pairs are accompanied by anomalous westerly/southwesterly flows or enhanced seasonal southwesterly flows. The enhanced moisture supply from the South China Sea (SCS) into Taiwan maintains prolonged heavy rainfall over western Taiwan across the landfall and post-landfall periods. The landfall of a TC coincides with the arrival of a minimum phase of the 30-60-day circulation in the vicinity of Taiwan, but with various phases of the 10-24-day circulation. Thus, the 30-60-day oscillation plays a more important role than the 10-24-day oscillation in inducing heavy rainfall in western Taiwan. For a type-6 TC without east-west pair of circulation anomalies associated with     prolonged heavy rainfall, both the 30-60-day and 10-24-day ISOs surround Taiwan during the landfall period. These anomalous southerly/southeasterly flows over eastern Taiwan do not enhance the seasonal southwesterly flows that facilitate heavy rainfall due to TC-southwesterly flow interactions.</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For a type-2 TC track</w:t>
      </w:r>
      <w:r w:rsidR="00CC4961">
        <w:rPr>
          <w:rFonts w:ascii="Arial" w:hAnsi="Arial" w:cs="Arial"/>
          <w:sz w:val="20"/>
          <w:szCs w:val="20"/>
        </w:rPr>
        <w:t>,</w:t>
      </w:r>
      <w:r w:rsidRPr="00CA201E">
        <w:rPr>
          <w:rFonts w:ascii="Arial" w:hAnsi="Arial" w:cs="Arial"/>
          <w:sz w:val="20"/>
          <w:szCs w:val="20"/>
        </w:rPr>
        <w:t xml:space="preserve"> interaction with the seasonal southwesterly flow induces heavy rainfall over western Taiwan in addition to rainfall directly associated with the incoming TCs over eastern Taiwan.  A positive contribution to maintainence of prolonged heavy rainfall </w:t>
      </w:r>
      <w:r w:rsidR="00CC4961">
        <w:rPr>
          <w:rFonts w:ascii="Arial" w:hAnsi="Arial" w:cs="Arial"/>
          <w:sz w:val="20"/>
          <w:szCs w:val="20"/>
        </w:rPr>
        <w:t xml:space="preserve">occurs </w:t>
      </w:r>
      <w:r w:rsidRPr="00CA201E">
        <w:rPr>
          <w:rFonts w:ascii="Arial" w:hAnsi="Arial" w:cs="Arial"/>
          <w:sz w:val="20"/>
          <w:szCs w:val="20"/>
        </w:rPr>
        <w:t>if both the 30-60-day and 10-24-day ISOs have a cyclonic anomaly that propagates northwestward from the southeast of Taiwan across northern Taiwan toward southern China. The most favorable condition is if both ISOs have a low-level cyclonic anomaly with a center to the northwest of Taiwan during landfall and subsequent two days.  The  anomalous westerly flow at the southern boundary enhances seasonal southwesterly flows to maintain persistent moisture supply from the SCS and prolonged heavy rainfall in Taiwan. By contrast, type-2 TCs with small rainfall tend to have a more westward track across northern Taiwan, which may be associated with a northward progression of the 30-60-day ISO from the tropical western Pacific toward Japan and a westward propagation of the 10-24-day ISO along the 20</w:t>
      </w:r>
      <w:r w:rsidRPr="00CA201E">
        <w:rPr>
          <w:rFonts w:ascii="Arial" w:hAnsi="Arial" w:cs="Arial"/>
          <w:sz w:val="20"/>
          <w:szCs w:val="20"/>
          <w:vertAlign w:val="superscript"/>
        </w:rPr>
        <w:t>o</w:t>
      </w:r>
      <w:r w:rsidRPr="00CA201E">
        <w:rPr>
          <w:rFonts w:ascii="Arial" w:hAnsi="Arial" w:cs="Arial"/>
          <w:sz w:val="20"/>
          <w:szCs w:val="20"/>
        </w:rPr>
        <w:t xml:space="preserve">N latitude from the tropical western Pacific toward the SCS during landfall and the ensuing two days. In these conditions both ISOs tend to have a zonally elongated cyclonic anomaly with a center to the south of Taiwan that leads to anomalous westerly flows that are displaced southward across the central SCS. Without moist westerly flows from the SCS, small rainfall </w:t>
      </w:r>
      <w:r w:rsidR="00CC4961">
        <w:rPr>
          <w:rFonts w:ascii="Arial" w:hAnsi="Arial" w:cs="Arial"/>
          <w:sz w:val="20"/>
          <w:szCs w:val="20"/>
        </w:rPr>
        <w:t xml:space="preserve">amounts occur </w:t>
      </w:r>
      <w:r w:rsidRPr="00CA201E">
        <w:rPr>
          <w:rFonts w:ascii="Arial" w:hAnsi="Arial" w:cs="Arial"/>
          <w:sz w:val="20"/>
          <w:szCs w:val="20"/>
        </w:rPr>
        <w:t xml:space="preserve">over Taiwan. </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 xml:space="preserve">In summary, enhanced seasonal southwesterly flows during the landfall periods of type-2 and type-6 TC tracks over Taiwan enhance moisture supply from the SCS to maintain prolonged heavy rainfall in Taiwan. The TC-southwesterly flow interaction is the key process determining rainfall amounts over western Taiwan. This interaction may be modulated by the 30-60-day and 10-24-day ISOs by creating a more favorable large-scale environment. </w:t>
      </w: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 xml:space="preserve">8.1.1.5  United States TC rainfall </w:t>
      </w:r>
      <w:r w:rsidR="00F83BC7">
        <w:rPr>
          <w:rFonts w:ascii="Arial" w:hAnsi="Arial" w:cs="Arial"/>
          <w:b/>
          <w:sz w:val="20"/>
          <w:szCs w:val="20"/>
        </w:rPr>
        <w:t xml:space="preserve">and flooding </w:t>
      </w:r>
      <w:r w:rsidRPr="00CA201E">
        <w:rPr>
          <w:rFonts w:ascii="Arial" w:hAnsi="Arial" w:cs="Arial"/>
          <w:b/>
          <w:sz w:val="20"/>
          <w:szCs w:val="20"/>
        </w:rPr>
        <w:t>climatology</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 xml:space="preserve">Heavy rainfall and flood events associated with North Atlantic (NA) TCs making landfall across the coastal areas of the United States are responsible for a large number of fatalities and economic damage </w:t>
      </w:r>
      <w:r w:rsidRPr="00CA201E">
        <w:rPr>
          <w:rFonts w:ascii="Arial" w:hAnsi="Arial" w:cs="Arial"/>
          <w:sz w:val="20"/>
          <w:szCs w:val="20"/>
          <w:lang w:val="it-IT"/>
        </w:rPr>
        <w:t xml:space="preserve">(e.g., Pielke et al. 2008, Jonkman et al. 2009, Czajkowski et al. 2011, 2013, Mendelsohn et al. 2012, Peduzzi et al. 2012, Rappaport 2014). </w:t>
      </w:r>
      <w:r w:rsidRPr="00CA201E">
        <w:rPr>
          <w:rFonts w:ascii="Arial" w:hAnsi="Arial" w:cs="Arial"/>
          <w:sz w:val="20"/>
          <w:szCs w:val="20"/>
        </w:rPr>
        <w:t>Rappaport (2014) documented that 27% of all the NA TC fatalities over the period 1963-2012 were related to heavy rainfall and flooding. Almost 50% of all the TCs with fatalities had at least one death from freshwater</w:t>
      </w:r>
      <w:r w:rsidRPr="009F1EAA">
        <w:rPr>
          <w:rFonts w:ascii="Arial" w:hAnsi="Arial" w:cs="Arial"/>
        </w:rPr>
        <w:t xml:space="preserve"> </w:t>
      </w:r>
      <w:r w:rsidRPr="00CA201E">
        <w:rPr>
          <w:rFonts w:ascii="Arial" w:hAnsi="Arial" w:cs="Arial"/>
          <w:sz w:val="20"/>
          <w:szCs w:val="20"/>
        </w:rPr>
        <w:t>flooding. Czajkowski et al. (2013) found that inland riverine flooding caused by Hurricane Ivan (2004) was responsible for 67% of the total residential flood insurance claims and 54% of the total residential flood damage.</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Consequently, freshwater flooding from NA TCs is a topic of high societal and economic relevance. Its importance has become clear with recent flooding associated with Hurricanes Irene (2011) and Isaac (2012). This heightened interest is also reflected in the increasing number of studies dealing with this important topic (e.g., Groisman et al. 2004, Shepherd et al. 2007, Konrad and Perry 2010, Kunkel et al. 2010, Barlow 2011, Prat and Nelson 2013). Kunkel et al. (2010) found that NA TCs are responsible for a large fraction of heavy rainfall events over Florida, the U.S. east coast and the Gulf of Mexico coast. Moreover, Kunkel et al.  found an increased contribution of TCs to heavy rainfall over the most recent decades. The contribution of TCs to heavy rainfall inland over the continental United States was also discussed by Barlow (2011).</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 xml:space="preserve">This TC-related heavy rainfall is a major factor in the flood generating processes.  Other key factors are, river discharge,  localized land use / land cover properties,  and antecedent soil moisture conditions (e.g., Hellin et al. 1999, Sturdevant-Rees et al. 2001). Most of the effort on TC-related flooding </w:t>
      </w:r>
      <w:r w:rsidRPr="00CA201E">
        <w:rPr>
          <w:rFonts w:ascii="Arial" w:hAnsi="Arial" w:cs="Arial"/>
          <w:sz w:val="20"/>
          <w:szCs w:val="20"/>
        </w:rPr>
        <w:lastRenderedPageBreak/>
        <w:t xml:space="preserve">over the continental United States has been on the regional scale or has been focused on a small number of events (e.g., Sturdevant-Rees et al. 2001, Villarini and Smith 2010, 2013, Smith et al. 2011, Villarini et al. 2011). Recently, Villarini et al. (2014) provided a climatological perspective of the link between NA TCs and U.S. flooding (Figure 8) during 1981-2011 based on discharge measurements from over 3000 U.S. Geological Survey (USGS) stream gage stations. The state of Florida and the U.S. eastern coast (from North Carolina to Vermont) are particularly subject to major flood events caused by TCs. A secondary swath with large TC floods exists over the central United States, with major flood events in some large urban areas in the U.S. Midwest such as Chicago and Detroit. This Villarino et al. study highlights that TCs can cause flooding over very large areas, far from the landfall location, and hundreds of kilometers away from the center of circulation. </w:t>
      </w:r>
    </w:p>
    <w:p w:rsidR="003926B2" w:rsidRDefault="003926B2" w:rsidP="003926B2">
      <w:pPr>
        <w:spacing w:line="360" w:lineRule="auto"/>
        <w:jc w:val="center"/>
      </w:pPr>
      <w:r>
        <w:rPr>
          <w:rFonts w:ascii="Times New Roman" w:hAnsi="Times New Roman" w:cs="Times New Roman"/>
          <w:noProof/>
          <w:sz w:val="24"/>
          <w:szCs w:val="24"/>
        </w:rPr>
        <w:drawing>
          <wp:inline distT="0" distB="0" distL="0" distR="0" wp14:anchorId="098C428A" wp14:editId="64E1546A">
            <wp:extent cx="3693226" cy="251739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rotWithShape="1">
                    <a:blip r:embed="rId15" cstate="print">
                      <a:extLst>
                        <a:ext uri="{28A0092B-C50C-407E-A947-70E740481C1C}">
                          <a14:useLocalDpi xmlns:a14="http://schemas.microsoft.com/office/drawing/2010/main" val="0"/>
                        </a:ext>
                      </a:extLst>
                    </a:blip>
                    <a:srcRect b="49564"/>
                    <a:stretch/>
                  </pic:blipFill>
                  <pic:spPr bwMode="auto">
                    <a:xfrm>
                      <a:off x="0" y="0"/>
                      <a:ext cx="3693226" cy="2517391"/>
                    </a:xfrm>
                    <a:prstGeom prst="rect">
                      <a:avLst/>
                    </a:prstGeom>
                    <a:ln>
                      <a:noFill/>
                    </a:ln>
                    <a:extLst>
                      <a:ext uri="{53640926-AAD7-44D8-BBD7-CCE9431645EC}">
                        <a14:shadowObscured xmlns:a14="http://schemas.microsoft.com/office/drawing/2010/main"/>
                      </a:ext>
                    </a:extLst>
                  </pic:spPr>
                </pic:pic>
              </a:graphicData>
            </a:graphic>
          </wp:inline>
        </w:drawing>
      </w:r>
    </w:p>
    <w:p w:rsidR="003926B2" w:rsidRPr="009F1EAA" w:rsidRDefault="003926B2" w:rsidP="00CA201E">
      <w:pPr>
        <w:spacing w:after="120" w:line="240" w:lineRule="auto"/>
        <w:jc w:val="both"/>
        <w:rPr>
          <w:rFonts w:ascii="Arial" w:hAnsi="Arial" w:cs="Arial"/>
          <w:sz w:val="20"/>
          <w:szCs w:val="20"/>
        </w:rPr>
      </w:pPr>
      <w:r w:rsidRPr="009F1EAA">
        <w:rPr>
          <w:rFonts w:ascii="Arial" w:hAnsi="Arial" w:cs="Arial"/>
          <w:b/>
          <w:sz w:val="20"/>
          <w:szCs w:val="20"/>
        </w:rPr>
        <w:t>Figure 8</w:t>
      </w:r>
      <w:r w:rsidRPr="009F1EAA">
        <w:rPr>
          <w:rFonts w:ascii="Arial" w:hAnsi="Arial" w:cs="Arial"/>
          <w:sz w:val="20"/>
          <w:szCs w:val="20"/>
        </w:rPr>
        <w:t>.  Spatial interpolation of the maximum flood ratio values in the United States associated with TCs at each location. The darker shades of gray represent the extent of the 500-km buffer around the center of circulation for all the storms during the study period. Values larger (smaller) than 1.0 indicate TC flood peaks larger (smaller) than the 10-y flood peak at a particular location ( Villarini et al. 2014a).</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TCs are responsible for major flooding over large inland areas because they undergo extratropical transition (ET). This phase is accompanied by the formation of outer rain bands and heavy rainfall hundreds of kilometers away from the center of the storm. In addition to ET, TCs can have predecessor rain events (PREs; Galarneau et al. 2010). PREs are responsible for heavy rainfall 1000 km poleward of recurving TCs and will be discussed in further detail later in this report. Rowe and Villarini (2013) examined the flood impacts of PREs and found that they are responsible for major flood events over larger areas of the central United States. Therefore, heavy rainfall and flooding associated with TCs can affect areas that are not in the proximity of the center of circulation of these storms, but at distances of 1000 km and larger.</w:t>
      </w: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8.1.2  Tropical cyclone rainband dynamics</w:t>
      </w:r>
    </w:p>
    <w:p w:rsidR="00E746F5" w:rsidRDefault="00E746F5" w:rsidP="00CA201E">
      <w:pPr>
        <w:spacing w:after="120" w:line="240" w:lineRule="auto"/>
        <w:rPr>
          <w:rFonts w:ascii="Arial" w:eastAsiaTheme="minorEastAsia" w:hAnsi="Arial" w:cs="Arial"/>
          <w:b/>
          <w:sz w:val="20"/>
          <w:szCs w:val="20"/>
          <w:lang w:eastAsia="zh-CN"/>
        </w:rPr>
      </w:pPr>
      <w:r w:rsidRPr="00E746F5">
        <w:rPr>
          <w:rFonts w:ascii="Arial" w:hAnsi="Arial" w:cs="Arial"/>
          <w:b/>
          <w:sz w:val="20"/>
          <w:szCs w:val="20"/>
        </w:rPr>
        <w:t>8.1.2.1  Tropical cyclone rainband complexes</w:t>
      </w: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8.1.2.1.0  Tropical cyclone rainband complexes:  Overview</w:t>
      </w:r>
    </w:p>
    <w:p w:rsidR="003926B2" w:rsidRPr="00CA201E" w:rsidRDefault="003926B2" w:rsidP="00637E95">
      <w:pPr>
        <w:spacing w:after="120" w:line="240" w:lineRule="auto"/>
        <w:ind w:firstLine="720"/>
        <w:rPr>
          <w:rFonts w:ascii="Arial" w:hAnsi="Arial" w:cs="Arial"/>
          <w:b/>
          <w:sz w:val="20"/>
          <w:szCs w:val="20"/>
        </w:rPr>
      </w:pPr>
      <w:r w:rsidRPr="00CA201E">
        <w:rPr>
          <w:rFonts w:ascii="Arial" w:hAnsi="Arial" w:cs="Arial"/>
          <w:sz w:val="20"/>
          <w:szCs w:val="20"/>
        </w:rPr>
        <w:t xml:space="preserve">Multiple rainbands that occur within 200 km of the TC center tend to form an organized rainband complex beneath the cirrus canopy that extends from the eyewall. This rainband complex, which is approximately stationary relative to the storm center, contains a large, long-lasting principal rainband and several smaller, more transient secondary rainbands (Willoughby et al. 1984). These rainbands begin as convective cells in the upwind end of the complex, </w:t>
      </w:r>
      <w:r w:rsidR="00D90F69">
        <w:rPr>
          <w:rFonts w:ascii="Arial" w:hAnsi="Arial" w:cs="Arial"/>
          <w:sz w:val="20"/>
          <w:szCs w:val="20"/>
        </w:rPr>
        <w:t xml:space="preserve">while </w:t>
      </w:r>
      <w:r w:rsidRPr="00CA201E">
        <w:rPr>
          <w:rFonts w:ascii="Arial" w:hAnsi="Arial" w:cs="Arial"/>
          <w:sz w:val="20"/>
          <w:szCs w:val="20"/>
        </w:rPr>
        <w:t xml:space="preserve">the rainbands merge downwind into a broad swath of stratiform precipitation (Atlas et al. 1963; Hence and Houze 2008; Didlake and Houze 2009). In the presence of environmental wind shear, the rainband complex becomes oriented such that the convective and stratiform ends occur in predictable regions of the storm (Corbosiero and Molinari 2002; </w:t>
      </w:r>
      <w:r w:rsidRPr="00CA201E">
        <w:rPr>
          <w:rFonts w:ascii="Arial" w:hAnsi="Arial" w:cs="Arial"/>
          <w:sz w:val="20"/>
          <w:szCs w:val="20"/>
        </w:rPr>
        <w:lastRenderedPageBreak/>
        <w:t>Hence and Houze 2012). The Hurricane Rainband and Intensity Change Experiment (RAINEX; Houze et al. 2006) during 2005 provided the opportunity for a detailed look at these rainband structures using the high-resolution airborne ELDORA Doppler radar. Using these measurements, Didlake and Houze (2013a,b) analyzed the three-dimensional winds and reflectivity to better understand the organization and driving forces of the rainband structures, as well as their roles in the evolution of the vortex circulation. Results from the Didlake and Houze (2013a, b) analyses of Hurricane Rita (2005) are presented herein.</w:t>
      </w: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8.1.2.1.1  Tropical cyclone rainband complexes:  Convective end of rainband complexes</w:t>
      </w:r>
    </w:p>
    <w:p w:rsidR="003926B2" w:rsidRPr="0065594E" w:rsidRDefault="003926B2" w:rsidP="00637E95">
      <w:pPr>
        <w:spacing w:after="120" w:line="240" w:lineRule="auto"/>
        <w:ind w:firstLine="720"/>
        <w:rPr>
          <w:rFonts w:ascii="Arial" w:hAnsi="Arial" w:cs="Arial"/>
        </w:rPr>
      </w:pPr>
      <w:r w:rsidRPr="00CA201E">
        <w:rPr>
          <w:rFonts w:ascii="Arial" w:hAnsi="Arial" w:cs="Arial"/>
          <w:sz w:val="20"/>
          <w:szCs w:val="20"/>
        </w:rPr>
        <w:t>Hurricane Rita had a stationary rainband complex with a typical orientation relative to the environmental vertical wind shear. The convective end of the complex was located in the upshear right and downshear right quadrants. In these regions, robust convective cells occurred between 70 and 170 km from the storm center. In the plan view of reflectivity shown in Figure 10, these convective cells are to the south and southeast of the eye. The hypothesis was that the TC vortex exerts different influences on the convective cells at different radii and that these cells would consequently have notable differences in their structures.  Convective cells were objectively identified based on their three-dimensional reflectivity structure, and cross-section composites were made for cells at smaller radii (~70-120 km – the inner region) and cells at larger radii (~120-170 km – the outer region).</w:t>
      </w:r>
    </w:p>
    <w:p w:rsidR="003926B2" w:rsidRDefault="003926B2" w:rsidP="003926B2">
      <w:pPr>
        <w:widowControl w:val="0"/>
        <w:autoSpaceDE w:val="0"/>
        <w:autoSpaceDN w:val="0"/>
        <w:adjustRightInd w:val="0"/>
        <w:spacing w:after="240"/>
        <w:ind w:left="1440" w:firstLine="720"/>
        <w:rPr>
          <w:rFonts w:ascii="Times New Roman" w:hAnsi="Times New Roman" w:cs="Times New Roman"/>
          <w:noProof/>
        </w:rPr>
      </w:pPr>
      <w:r w:rsidRPr="00F963E2">
        <w:rPr>
          <w:rFonts w:ascii="Times New Roman" w:hAnsi="Times New Roman" w:cs="Times New Roman"/>
          <w:noProof/>
        </w:rPr>
        <w:drawing>
          <wp:inline distT="0" distB="0" distL="0" distR="0" wp14:anchorId="7B0F4AE0" wp14:editId="14B878D3">
            <wp:extent cx="3484548" cy="3278892"/>
            <wp:effectExtent l="0" t="0" r="0" b="0"/>
            <wp:docPr id="11" name="Picture 11" descr="Macintosh HD:Users:didlake:Documents:Other Projects:Radarplan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dlake:Documents:Other Projects:Radarplan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5199" cy="3279505"/>
                    </a:xfrm>
                    <a:prstGeom prst="rect">
                      <a:avLst/>
                    </a:prstGeom>
                    <a:noFill/>
                    <a:ln>
                      <a:noFill/>
                    </a:ln>
                  </pic:spPr>
                </pic:pic>
              </a:graphicData>
            </a:graphic>
          </wp:inline>
        </w:drawing>
      </w:r>
    </w:p>
    <w:p w:rsidR="003926B2" w:rsidRPr="00CA201E" w:rsidRDefault="003926B2" w:rsidP="00CA201E">
      <w:pPr>
        <w:widowControl w:val="0"/>
        <w:autoSpaceDE w:val="0"/>
        <w:autoSpaceDN w:val="0"/>
        <w:adjustRightInd w:val="0"/>
        <w:spacing w:after="120" w:line="240" w:lineRule="auto"/>
        <w:jc w:val="both"/>
        <w:rPr>
          <w:rFonts w:ascii="Arial" w:hAnsi="Arial" w:cs="Arial"/>
          <w:sz w:val="20"/>
          <w:szCs w:val="20"/>
        </w:rPr>
      </w:pPr>
      <w:r w:rsidRPr="00CA201E">
        <w:rPr>
          <w:rFonts w:ascii="Arial" w:hAnsi="Arial" w:cs="Arial"/>
          <w:b/>
          <w:sz w:val="20"/>
          <w:szCs w:val="20"/>
        </w:rPr>
        <w:t xml:space="preserve">Figure 9. </w:t>
      </w:r>
      <w:r w:rsidRPr="00CA201E">
        <w:rPr>
          <w:rFonts w:ascii="Arial" w:hAnsi="Arial" w:cs="Arial"/>
          <w:sz w:val="20"/>
          <w:szCs w:val="20"/>
        </w:rPr>
        <w:t>Plan view of ELDORA reflectivity data at 2 km altitude observed in Hurricane Rita during 1642-1927 UTC 21 Sep 2005. Figure adapted from Didlake and Houze (2013a, b).</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Convective cells in the outer region mostly took on the form of principal rainband cells (Cell 2 in Fig. 10b). These cells consisted of outwardly leaning intense reflectivity cores with lighter stratiform rain radially outward of the cell. Associated with these cells was an overturning circulation that consisted of deep radial inflow (~4 km deep), which turned upward into a robust updraft (up to 5 m s</w:t>
      </w:r>
      <w:r w:rsidRPr="00CA201E">
        <w:rPr>
          <w:rFonts w:ascii="Arial" w:hAnsi="Arial" w:cs="Arial"/>
          <w:sz w:val="20"/>
          <w:szCs w:val="20"/>
          <w:vertAlign w:val="superscript"/>
        </w:rPr>
        <w:t>-1</w:t>
      </w:r>
      <w:r w:rsidRPr="00CA201E">
        <w:rPr>
          <w:rFonts w:ascii="Arial" w:hAnsi="Arial" w:cs="Arial"/>
          <w:sz w:val="20"/>
          <w:szCs w:val="20"/>
        </w:rPr>
        <w:t xml:space="preserve"> in magnitude) and outward in the middle levels. The reflectivity core and overturning circulation all occurred below 10 km altitude. These convective cells also led to a convective-scale local tangential jet that, unlike the midlevel jet documented in prior principal rainband studies, occurred at altitudes ranging between 1 km and 9 km. Convective cells in the inner region (Cell 1 in Fig. 10b) had noticeable differences in structure and dynamics. These reflectivity cores were weaker and more shallow. The overturning circulation consisted of a shallower but stronger inflow layer, a weaker updraft, and a more shallow outflow layer that occurred near ~7 km altitude.  These cells also contained a local tangential jet, but this jet only occurred </w:t>
      </w:r>
      <w:r w:rsidRPr="00CA201E">
        <w:rPr>
          <w:rFonts w:ascii="Arial" w:hAnsi="Arial" w:cs="Arial"/>
          <w:sz w:val="20"/>
          <w:szCs w:val="20"/>
        </w:rPr>
        <w:lastRenderedPageBreak/>
        <w:t>in the lower levels (below 3 km altitude). This tangential jet was also found to be supergradient, which indicates that the outward-pointing radial forces exceeded the inward-pointing radial forces.</w:t>
      </w:r>
    </w:p>
    <w:p w:rsidR="003926B2" w:rsidRDefault="003926B2" w:rsidP="003926B2">
      <w:pPr>
        <w:spacing w:line="360" w:lineRule="auto"/>
        <w:rPr>
          <w:rFonts w:cs="Times New Roman"/>
        </w:rPr>
      </w:pPr>
      <w:r w:rsidRPr="00CD0C57">
        <w:rPr>
          <w:rFonts w:cs="Times New Roman"/>
          <w:noProof/>
        </w:rPr>
        <mc:AlternateContent>
          <mc:Choice Requires="wps">
            <w:drawing>
              <wp:anchor distT="0" distB="0" distL="114300" distR="114300" simplePos="0" relativeHeight="251661312" behindDoc="0" locked="0" layoutInCell="1" allowOverlap="1" wp14:anchorId="03FFFD77" wp14:editId="0EAB644C">
                <wp:simplePos x="0" y="0"/>
                <wp:positionH relativeFrom="column">
                  <wp:posOffset>2176145</wp:posOffset>
                </wp:positionH>
                <wp:positionV relativeFrom="paragraph">
                  <wp:posOffset>38290</wp:posOffset>
                </wp:positionV>
                <wp:extent cx="320040" cy="296545"/>
                <wp:effectExtent l="0" t="0" r="381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96545"/>
                        </a:xfrm>
                        <a:prstGeom prst="rect">
                          <a:avLst/>
                        </a:prstGeom>
                        <a:solidFill>
                          <a:srgbClr val="FFFFFF"/>
                        </a:solidFill>
                        <a:ln w="9525">
                          <a:noFill/>
                          <a:miter lim="800000"/>
                          <a:headEnd/>
                          <a:tailEnd/>
                        </a:ln>
                      </wps:spPr>
                      <wps:txbx>
                        <w:txbxContent>
                          <w:p w:rsidR="00EC65B9" w:rsidRPr="00CD0C57" w:rsidRDefault="00EC65B9" w:rsidP="003926B2">
                            <w:pPr>
                              <w:rPr>
                                <w:b/>
                              </w:rPr>
                            </w:pPr>
                            <w:r>
                              <w:rPr>
                                <w:b/>
                              </w:rPr>
                              <w:t>b</w:t>
                            </w:r>
                            <w:r w:rsidRPr="00CD0C57">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71.35pt;margin-top:3pt;width:25.2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TUIAIAACIEAAAOAAAAZHJzL2Uyb0RvYy54bWysU9tu2zAMfR+wfxD0vjjxkq4x4hRdugwD&#10;ugvQ7gNoWY6FSaInKbGzry8lp2m2vQ3TgyCK5NHhIbW6GYxmB+m8Qlvy2WTKmbQCa2V3Jf/+uH1z&#10;zZkPYGvQaGXJj9Lzm/XrV6u+K2SOLepaOkYg1hd9V/I2hK7IMi9aacBPsJOWnA06A4FMt8tqBz2h&#10;G53l0+lV1qOrO4dCek+3d6OTrxN+00gRvjaNl4HpkhO3kHaX9iru2XoFxc5B1ypxogH/wMKAsvTo&#10;GeoOArC9U39BGSUcemzCRKDJsGmUkKkGqmY2/aOahxY6mWohcXx3lsn/P1jx5fDNMVVT7+acWTDU&#10;o0c5BPYeB5ZHefrOFxT10FFcGOiaQlOpvrtH8cMzi5sW7E7eOod9K6EmerOYmV2kjjg+glT9Z6zp&#10;GdgHTEBD40zUjtRghE5tOp5bE6kIunxLzZ6TR5ArX14t5ov0AhTPyZ3z4aNEw+Kh5I46n8DhcO9D&#10;JAPFc0h8y6NW9VZpnQy3qzbasQPQlGzTOqH/FqYt60u+XOSLhGwx5qcBMirQFGtlSn49jSumQxHF&#10;+GDrdA6g9HgmJtqe1ImCjNKEoRrGPsTcqFyF9ZHkcjgOLX0yOrTofnHW08CW3P/cg5Oc6U+WJF/O&#10;5lGgkIz54l1Ohrv0VJcesIKgSh44G4+bkH5FpG3xllrTqCTbC5MTZRrEpObp08RJv7RT1MvXXj8B&#10;AAD//wMAUEsDBBQABgAIAAAAIQBiNyGD3QAAAAgBAAAPAAAAZHJzL2Rvd25yZXYueG1sTI9BT4NA&#10;EIXvJv6HzZh4MXZpacEiQ6MmGq+t/QEDbIHIzhJ2W+i/dzzpcd57efO9fDfbXl3M6DvHCMtFBMpw&#10;5eqOG4Tj1/vjEygfiGvqHRuEq/GwK25vcspqN/HeXA6hUVLCPiOENoQh09pXrbHkF24wLN7JjZaC&#10;nGOj65EmKbe9XkVRoi11LB9aGsxba6rvw9kinD6nh812Kj/CMd2vk1fq0tJdEe/v5pdnUMHM4S8M&#10;v/iCDoUwle7MtVc9QrxepRJFSGSS+PE2XoIqETai6yLX/wcUPwAAAP//AwBQSwECLQAUAAYACAAA&#10;ACEAtoM4kv4AAADhAQAAEwAAAAAAAAAAAAAAAAAAAAAAW0NvbnRlbnRfVHlwZXNdLnhtbFBLAQIt&#10;ABQABgAIAAAAIQA4/SH/1gAAAJQBAAALAAAAAAAAAAAAAAAAAC8BAABfcmVscy8ucmVsc1BLAQIt&#10;ABQABgAIAAAAIQC4XyTUIAIAACIEAAAOAAAAAAAAAAAAAAAAAC4CAABkcnMvZTJvRG9jLnhtbFBL&#10;AQItABQABgAIAAAAIQBiNyGD3QAAAAgBAAAPAAAAAAAAAAAAAAAAAHoEAABkcnMvZG93bnJldi54&#10;bWxQSwUGAAAAAAQABADzAAAAhAUAAAAA&#10;" stroked="f">
                <v:textbox>
                  <w:txbxContent>
                    <w:p w:rsidR="00EC65B9" w:rsidRPr="00CD0C57" w:rsidRDefault="00EC65B9" w:rsidP="003926B2">
                      <w:pPr>
                        <w:rPr>
                          <w:b/>
                        </w:rPr>
                      </w:pPr>
                      <w:r>
                        <w:rPr>
                          <w:b/>
                        </w:rPr>
                        <w:t>b</w:t>
                      </w:r>
                      <w:r w:rsidRPr="00CD0C57">
                        <w:rPr>
                          <w:b/>
                        </w:rPr>
                        <w:t>)</w:t>
                      </w:r>
                    </w:p>
                  </w:txbxContent>
                </v:textbox>
              </v:shape>
            </w:pict>
          </mc:Fallback>
        </mc:AlternateContent>
      </w:r>
      <w:r w:rsidRPr="00CD0C57">
        <w:rPr>
          <w:rFonts w:cs="Times New Roman"/>
          <w:noProof/>
        </w:rPr>
        <mc:AlternateContent>
          <mc:Choice Requires="wps">
            <w:drawing>
              <wp:anchor distT="0" distB="0" distL="114300" distR="114300" simplePos="0" relativeHeight="251660288" behindDoc="0" locked="0" layoutInCell="1" allowOverlap="1" wp14:anchorId="60337593" wp14:editId="31326A8F">
                <wp:simplePos x="0" y="0"/>
                <wp:positionH relativeFrom="column">
                  <wp:posOffset>23751</wp:posOffset>
                </wp:positionH>
                <wp:positionV relativeFrom="paragraph">
                  <wp:posOffset>42900</wp:posOffset>
                </wp:positionV>
                <wp:extent cx="320633" cy="296883"/>
                <wp:effectExtent l="0" t="0" r="3810"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33" cy="296883"/>
                        </a:xfrm>
                        <a:prstGeom prst="rect">
                          <a:avLst/>
                        </a:prstGeom>
                        <a:solidFill>
                          <a:srgbClr val="FFFFFF"/>
                        </a:solidFill>
                        <a:ln w="9525">
                          <a:noFill/>
                          <a:miter lim="800000"/>
                          <a:headEnd/>
                          <a:tailEnd/>
                        </a:ln>
                      </wps:spPr>
                      <wps:txbx>
                        <w:txbxContent>
                          <w:p w:rsidR="00EC65B9" w:rsidRPr="00CD0C57" w:rsidRDefault="00EC65B9" w:rsidP="003926B2">
                            <w:pPr>
                              <w:rPr>
                                <w:b/>
                              </w:rPr>
                            </w:pPr>
                            <w:r w:rsidRPr="00CD0C57">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5pt;margin-top:3.4pt;width:25.2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UWIgIAACIEAAAOAAAAZHJzL2Uyb0RvYy54bWysU9uO2yAQfa/Uf0C8N3acSxMrzmqbbapK&#10;24u02w/AGMeowFAgsbdfvwPOpmn7VpUHxDAzhzNnhs3NoBU5CeclmIpOJzklwnBopDlU9Nvj/s2K&#10;Eh+YaZgCIyr6JDy92b5+teltKQroQDXCEQQxvuxtRbsQbJllnndCMz8BKww6W3CaBTTdIWsc6xFd&#10;q6zI82XWg2usAy68x9u70Um3Cb9tBQ9f2taLQFRFkVtIu0t7Hfdsu2HlwTHbSX6mwf6BhWbS4KMX&#10;qDsWGDk6+ReUltyBhzZMOOgM2lZykWrAaqb5H9U8dMyKVAuK4+1FJv//YPnn01dHZIO9m1FimMYe&#10;PYohkHcwkCLK01tfYtSDxbgw4DWGplK9vQf+3RMDu46Zg7h1DvpOsAbpTWNmdpU64vgIUvefoMFn&#10;2DFAAhpap6N2qAZBdGzT06U1kQrHy1mRL2fIkKOrWC9Xq1l6gZUvydb58EGAJvFQUYedT+DsdO9D&#10;JMPKl5D4lgclm71UKhnuUO+UIyeGU7JP64z+W5gypK/oelEsErKBmJ8GSMuAU6ykrugqjyumszKK&#10;8d406RyYVOMZmShzVicKMkoThnpIfbiIXkPzhHI5GIcWPxkeOnA/KelxYCvqfxyZE5SojwYlX0/n&#10;8zjhyZgv3hZouGtPfe1hhiNURQMl43EX0q+ItA3cYmtamWSLPRyZnCnjICY1z58mTvq1naJ+fe3t&#10;MwAAAP//AwBQSwMEFAAGAAgAAAAhANQl9NnaAAAABQEAAA8AAABkcnMvZG93bnJldi54bWxMjs1O&#10;wzAQhO9IvIO1SFwQdehPAiFOBUggri19gE28TSLidRS7Tfr2LCc4jUYzmvmK7ex6daYxdJ4NPCwS&#10;UMS1tx03Bg5f7/ePoEJEtth7JgMXCrAtr68KzK2feEfnfWyUjHDI0UAb45BrHeqWHIaFH4glO/rR&#10;YRQ7NtqOOMm46/UySVLtsGN5aHGgt5bq7/3JGTh+Tnebp6n6iIdst05fscsqfzHm9mZ+eQYVaY5/&#10;ZfjFF3QohanyJ7ZB9QZWmRQNpMIv6Wa9BFWJrlLQZaH/05c/AAAA//8DAFBLAQItABQABgAIAAAA&#10;IQC2gziS/gAAAOEBAAATAAAAAAAAAAAAAAAAAAAAAABbQ29udGVudF9UeXBlc10ueG1sUEsBAi0A&#10;FAAGAAgAAAAhADj9If/WAAAAlAEAAAsAAAAAAAAAAAAAAAAALwEAAF9yZWxzLy5yZWxzUEsBAi0A&#10;FAAGAAgAAAAhAL26hRYiAgAAIgQAAA4AAAAAAAAAAAAAAAAALgIAAGRycy9lMm9Eb2MueG1sUEsB&#10;Ai0AFAAGAAgAAAAhANQl9NnaAAAABQEAAA8AAAAAAAAAAAAAAAAAfAQAAGRycy9kb3ducmV2Lnht&#10;bFBLBQYAAAAABAAEAPMAAACDBQAAAAA=&#10;" stroked="f">
                <v:textbox>
                  <w:txbxContent>
                    <w:p w:rsidR="00EC65B9" w:rsidRPr="00CD0C57" w:rsidRDefault="00EC65B9" w:rsidP="003926B2">
                      <w:pPr>
                        <w:rPr>
                          <w:b/>
                        </w:rPr>
                      </w:pPr>
                      <w:r w:rsidRPr="00CD0C57">
                        <w:rPr>
                          <w:b/>
                        </w:rPr>
                        <w:t>a)</w:t>
                      </w:r>
                    </w:p>
                  </w:txbxContent>
                </v:textbox>
              </v:shape>
            </w:pict>
          </mc:Fallback>
        </mc:AlternateContent>
      </w:r>
      <w:r w:rsidRPr="00F963E2">
        <w:rPr>
          <w:rFonts w:ascii="Times New Roman" w:hAnsi="Times New Roman" w:cs="Times New Roman"/>
          <w:noProof/>
        </w:rPr>
        <w:drawing>
          <wp:inline distT="0" distB="0" distL="0" distR="0" wp14:anchorId="762EC7D6" wp14:editId="7BB55F6A">
            <wp:extent cx="2042556" cy="2213377"/>
            <wp:effectExtent l="19050" t="19050" r="15240" b="15875"/>
            <wp:docPr id="12" name="Picture 12" descr="Macintosh HD:Users:didlake:Documents:Other Projects:Schematic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dlake:Documents:Other Projects:Schematic_pl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556" cy="2213377"/>
                    </a:xfrm>
                    <a:prstGeom prst="rect">
                      <a:avLst/>
                    </a:prstGeom>
                    <a:noFill/>
                    <a:ln>
                      <a:solidFill>
                        <a:schemeClr val="bg1">
                          <a:lumMod val="75000"/>
                        </a:schemeClr>
                      </a:solidFill>
                    </a:ln>
                  </pic:spPr>
                </pic:pic>
              </a:graphicData>
            </a:graphic>
          </wp:inline>
        </w:drawing>
      </w:r>
      <w:r w:rsidRPr="00F963E2">
        <w:rPr>
          <w:rFonts w:ascii="Times New Roman" w:hAnsi="Times New Roman" w:cs="Times New Roman"/>
          <w:noProof/>
        </w:rPr>
        <w:drawing>
          <wp:inline distT="0" distB="0" distL="0" distR="0" wp14:anchorId="781A5D51" wp14:editId="267AD75A">
            <wp:extent cx="3762619" cy="2196935"/>
            <wp:effectExtent l="19050" t="19050" r="9525" b="13335"/>
            <wp:docPr id="2050" name="Picture 2" descr="Z:\home\disk\sband\didlake\phd1\figures\Fig4.1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Z:\home\disk\sband\didlake\phd1\figures\Fig4.18b.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2575" cy="2202748"/>
                    </a:xfrm>
                    <a:prstGeom prst="rect">
                      <a:avLst/>
                    </a:prstGeom>
                    <a:noFill/>
                    <a:ln>
                      <a:solidFill>
                        <a:schemeClr val="bg1">
                          <a:lumMod val="75000"/>
                        </a:schemeClr>
                      </a:solidFill>
                    </a:ln>
                    <a:extLst/>
                  </pic:spPr>
                </pic:pic>
              </a:graphicData>
            </a:graphic>
          </wp:inline>
        </w:drawing>
      </w:r>
    </w:p>
    <w:p w:rsidR="003926B2" w:rsidRDefault="003926B2" w:rsidP="003926B2">
      <w:pPr>
        <w:spacing w:line="360" w:lineRule="auto"/>
        <w:jc w:val="center"/>
        <w:rPr>
          <w:rFonts w:cs="Times New Roman"/>
        </w:rPr>
      </w:pPr>
      <w:r w:rsidRPr="00CD0C57">
        <w:rPr>
          <w:rFonts w:cs="Times New Roman"/>
          <w:noProof/>
        </w:rPr>
        <mc:AlternateContent>
          <mc:Choice Requires="wps">
            <w:drawing>
              <wp:anchor distT="0" distB="0" distL="114300" distR="114300" simplePos="0" relativeHeight="251662336" behindDoc="0" locked="0" layoutInCell="1" allowOverlap="1" wp14:anchorId="51A452F6" wp14:editId="280F9B35">
                <wp:simplePos x="0" y="0"/>
                <wp:positionH relativeFrom="column">
                  <wp:posOffset>1650365</wp:posOffset>
                </wp:positionH>
                <wp:positionV relativeFrom="paragraph">
                  <wp:posOffset>76579</wp:posOffset>
                </wp:positionV>
                <wp:extent cx="320040" cy="33211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32114"/>
                        </a:xfrm>
                        <a:prstGeom prst="rect">
                          <a:avLst/>
                        </a:prstGeom>
                        <a:noFill/>
                        <a:ln w="9525">
                          <a:noFill/>
                          <a:miter lim="800000"/>
                          <a:headEnd/>
                          <a:tailEnd/>
                        </a:ln>
                      </wps:spPr>
                      <wps:txbx>
                        <w:txbxContent>
                          <w:p w:rsidR="00EC65B9" w:rsidRPr="00CD0C57" w:rsidRDefault="00EC65B9" w:rsidP="003926B2">
                            <w:pPr>
                              <w:rPr>
                                <w:b/>
                              </w:rPr>
                            </w:pPr>
                            <w:r>
                              <w:rPr>
                                <w:b/>
                              </w:rPr>
                              <w:t>c</w:t>
                            </w:r>
                            <w:r w:rsidRPr="00CD0C57">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9.95pt;margin-top:6.05pt;width:25.2pt;height:2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8hDAIAAPkDAAAOAAAAZHJzL2Uyb0RvYy54bWysU9tu2zAMfR+wfxD0vjhxkq014hRduw4D&#10;ugvQ7gMYWY6FSaImKbGzry8lJ1mwvQ3TgyCJ5CHPIbW6GYxme+mDQlvz2WTKmbQCG2W3Nf/+/PDm&#10;irMQwTag0cqaH2TgN+vXr1a9q2SJHepGekYgNlS9q3kXo6uKIohOGggTdNKSsUVvINLVb4vGQ0/o&#10;RhfldPq26NE3zqOQIdDr/Wjk64zftlLEr20bZGS65lRbzLvP+ybtxXoF1daD65Q4lgH/UIUBZSnp&#10;GeoeIrCdV39BGSU8BmzjRKApsG2VkJkDsZlN/2Dz1IGTmQuJE9xZpvD/YMWX/TfPVEO9W3JmwVCP&#10;nuUQ2XscWJnk6V2oyOvJkV8c6JlcM9XgHlH8CMziXQd2K2+9x76T0FB5sxRZXISOOCGBbPrP2FAa&#10;2EXMQEPrTdKO1GCETm06nFuTShH0OKdmL8giyDSfl7PZImeA6hTsfIgfJRqWDjX31PkMDvvHEFMx&#10;UJ1cUi6LD0rr3H1tWV/z62W5zAEXFqMiDadWpuZX07TGcUkcP9gmB0dQejxTAm2PpBPPkXEcNkOW&#10;d37ScoPNgVTwOM4i/R06dOh/cdbTHNY8/NyBl5zpT5aUvJ4tEu+YL4vlu5Iu/tKyubSAFQRV88jZ&#10;eLyLedhHyrekeKuyGqk1YyXHkmm+skjHv5AG+PKevX7/2PULAAAA//8DAFBLAwQUAAYACAAAACEA&#10;X2BWWd0AAAAJAQAADwAAAGRycy9kb3ducmV2LnhtbEyPwU7DMBBE70j8g7VI3KidNK1IiFMhEFcQ&#10;BSr15sbbJCJeR7HbhL9nOdHjap5m3pab2fXijGPoPGlIFgoEUu1tR42Gz4+Xu3sQIRqypveEGn4w&#10;wKa6vipNYf1E73jexkZwCYXCaGhjHAopQ92iM2HhByTOjn50JvI5NtKOZuJy18tUqbV0piNeaM2A&#10;Ty3W39uT0/D1etzvMvXWPLvVMPlZSXK51Pr2Zn58ABFxjv8w/OmzOlTsdPAnskH0GtJVnjPKQZqA&#10;YGCZqCWIg4Z1loGsSnn5QfULAAD//wMAUEsBAi0AFAAGAAgAAAAhALaDOJL+AAAA4QEAABMAAAAA&#10;AAAAAAAAAAAAAAAAAFtDb250ZW50X1R5cGVzXS54bWxQSwECLQAUAAYACAAAACEAOP0h/9YAAACU&#10;AQAACwAAAAAAAAAAAAAAAAAvAQAAX3JlbHMvLnJlbHNQSwECLQAUAAYACAAAACEAUZWvIQwCAAD5&#10;AwAADgAAAAAAAAAAAAAAAAAuAgAAZHJzL2Uyb0RvYy54bWxQSwECLQAUAAYACAAAACEAX2BWWd0A&#10;AAAJAQAADwAAAAAAAAAAAAAAAABmBAAAZHJzL2Rvd25yZXYueG1sUEsFBgAAAAAEAAQA8wAAAHAF&#10;AAAAAA==&#10;" filled="f" stroked="f">
                <v:textbox>
                  <w:txbxContent>
                    <w:p w:rsidR="00EC65B9" w:rsidRPr="00CD0C57" w:rsidRDefault="00EC65B9" w:rsidP="003926B2">
                      <w:pPr>
                        <w:rPr>
                          <w:b/>
                        </w:rPr>
                      </w:pPr>
                      <w:r>
                        <w:rPr>
                          <w:b/>
                        </w:rPr>
                        <w:t>c</w:t>
                      </w:r>
                      <w:r w:rsidRPr="00CD0C57">
                        <w:rPr>
                          <w:b/>
                        </w:rPr>
                        <w:t>)</w:t>
                      </w:r>
                    </w:p>
                  </w:txbxContent>
                </v:textbox>
              </v:shape>
            </w:pict>
          </mc:Fallback>
        </mc:AlternateContent>
      </w:r>
      <w:r w:rsidRPr="00F963E2">
        <w:rPr>
          <w:rFonts w:ascii="Times New Roman" w:hAnsi="Times New Roman" w:cs="Times New Roman"/>
          <w:noProof/>
        </w:rPr>
        <w:drawing>
          <wp:inline distT="0" distB="0" distL="0" distR="0" wp14:anchorId="79C2130C" wp14:editId="2561A88D">
            <wp:extent cx="3170712" cy="1972888"/>
            <wp:effectExtent l="19050" t="19050" r="10795" b="27940"/>
            <wp:docPr id="5122" name="Picture 2" descr="C:\Users\didlake\Desktop\stratC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didlake\Desktop\stratCM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868" cy="1976096"/>
                    </a:xfrm>
                    <a:prstGeom prst="rect">
                      <a:avLst/>
                    </a:prstGeom>
                    <a:noFill/>
                    <a:ln>
                      <a:solidFill>
                        <a:schemeClr val="bg1">
                          <a:lumMod val="75000"/>
                        </a:schemeClr>
                      </a:solidFill>
                    </a:ln>
                    <a:extLst/>
                  </pic:spPr>
                </pic:pic>
              </a:graphicData>
            </a:graphic>
          </wp:inline>
        </w:drawing>
      </w:r>
    </w:p>
    <w:p w:rsidR="003926B2" w:rsidRPr="00CA201E" w:rsidRDefault="003926B2" w:rsidP="00CA201E">
      <w:pPr>
        <w:widowControl w:val="0"/>
        <w:autoSpaceDE w:val="0"/>
        <w:autoSpaceDN w:val="0"/>
        <w:adjustRightInd w:val="0"/>
        <w:spacing w:after="120" w:line="240" w:lineRule="auto"/>
        <w:jc w:val="both"/>
        <w:rPr>
          <w:rFonts w:ascii="Arial" w:hAnsi="Arial" w:cs="Arial"/>
          <w:sz w:val="20"/>
          <w:szCs w:val="20"/>
        </w:rPr>
      </w:pPr>
      <w:r w:rsidRPr="0065594E">
        <w:rPr>
          <w:rFonts w:ascii="Arial" w:hAnsi="Arial" w:cs="Arial"/>
          <w:b/>
          <w:sz w:val="20"/>
          <w:szCs w:val="20"/>
        </w:rPr>
        <w:t xml:space="preserve">Figure 10. </w:t>
      </w:r>
      <w:r w:rsidRPr="0065594E">
        <w:rPr>
          <w:rFonts w:ascii="Arial" w:hAnsi="Arial" w:cs="Arial"/>
          <w:sz w:val="20"/>
          <w:szCs w:val="20"/>
        </w:rPr>
        <w:t>a) Plan view schematic of an organized rainband complex in a mature tropical cyclone from Didlake and Houze (2013a, b). The gray lines represent the cross sections conceptualized in (b) and (c). b) Schematic of the convective motions associated with two mature convective cells at different radial distances from the storm center within the inner core. Reflectivity contours are drawn showing Cell 1 at a smaller radius and Cell 2 and a larger radius. The solid arrows represent the overturning secondary circulation within each cell. The plus signs and minus signs indicate regions of increasing and decreasing tangential velocity, respectively.</w:t>
      </w:r>
      <w:r w:rsidR="008B0835">
        <w:rPr>
          <w:rFonts w:ascii="Arial" w:hAnsi="Arial" w:cs="Arial"/>
          <w:sz w:val="20"/>
          <w:szCs w:val="20"/>
        </w:rPr>
        <w:t xml:space="preserve"> </w:t>
      </w:r>
      <w:r>
        <w:rPr>
          <w:rFonts w:ascii="Arial" w:hAnsi="Arial" w:cs="Arial"/>
          <w:sz w:val="20"/>
          <w:szCs w:val="20"/>
        </w:rPr>
        <w:t>V</w:t>
      </w:r>
      <w:r w:rsidRPr="0065594E">
        <w:rPr>
          <w:rFonts w:ascii="Arial" w:hAnsi="Arial" w:cs="Arial"/>
          <w:sz w:val="20"/>
          <w:szCs w:val="20"/>
          <w:vertAlign w:val="subscript"/>
        </w:rPr>
        <w:t>1</w:t>
      </w:r>
      <w:r w:rsidRPr="0065594E">
        <w:rPr>
          <w:rFonts w:ascii="Arial" w:hAnsi="Arial" w:cs="Arial"/>
          <w:position w:val="-6"/>
          <w:sz w:val="20"/>
          <w:szCs w:val="20"/>
        </w:rPr>
        <w:t xml:space="preserve"> </w:t>
      </w:r>
      <w:r w:rsidRPr="0065594E">
        <w:rPr>
          <w:rFonts w:ascii="Arial" w:hAnsi="Arial" w:cs="Arial"/>
          <w:sz w:val="20"/>
          <w:szCs w:val="20"/>
        </w:rPr>
        <w:t xml:space="preserve">and </w:t>
      </w:r>
      <w:r>
        <w:rPr>
          <w:rFonts w:ascii="Arial" w:hAnsi="Arial" w:cs="Arial"/>
          <w:sz w:val="20"/>
          <w:szCs w:val="20"/>
        </w:rPr>
        <w:t>V</w:t>
      </w:r>
      <w:r w:rsidRPr="0065594E">
        <w:rPr>
          <w:rFonts w:ascii="Arial" w:hAnsi="Arial" w:cs="Arial"/>
          <w:sz w:val="20"/>
          <w:szCs w:val="20"/>
          <w:vertAlign w:val="subscript"/>
        </w:rPr>
        <w:t xml:space="preserve">2 </w:t>
      </w:r>
      <w:r w:rsidRPr="0065594E">
        <w:rPr>
          <w:rFonts w:ascii="Arial" w:hAnsi="Arial" w:cs="Arial"/>
          <w:sz w:val="20"/>
          <w:szCs w:val="20"/>
        </w:rPr>
        <w:t>represent the tangential velocity jets in each cell. c) Schematic of the dynamics within a stratiform rainband as indicted by reflectivity contours. The line arrows represent vortex-scale motions associated with the overall storm, and the broad arrows represent mesoscale motions associated with the stratiform rainband. The broad arrows of the descending inflow are driven by two regions of a radial buoyancy gradient, ∂B/∂r. The plus signs indicate regions of increasing tangential velocity by the secondary circulation. The circled region indicates the tangential jet</w:t>
      </w:r>
      <w:r>
        <w:rPr>
          <w:rFonts w:ascii="Arial" w:hAnsi="Arial" w:cs="Arial"/>
          <w:sz w:val="20"/>
          <w:szCs w:val="20"/>
        </w:rPr>
        <w:t xml:space="preserve"> V</w:t>
      </w:r>
      <w:r w:rsidRPr="0065594E">
        <w:rPr>
          <w:rFonts w:ascii="Arial" w:hAnsi="Arial" w:cs="Arial"/>
          <w:sz w:val="20"/>
          <w:szCs w:val="20"/>
          <w:vertAlign w:val="subscript"/>
        </w:rPr>
        <w:t>3</w:t>
      </w:r>
      <w:r w:rsidRPr="0065594E">
        <w:rPr>
          <w:rFonts w:ascii="Arial" w:hAnsi="Arial" w:cs="Arial"/>
          <w:sz w:val="20"/>
          <w:szCs w:val="20"/>
        </w:rPr>
        <w:t xml:space="preserve">. Latent cooling and latent heating occur in the indicated regions. </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t xml:space="preserve">A momentum budget analysis revealed how the vortex dynamics are creating the disparity between the structures of the inner and outer convective cells. With stronger vertical updrafts, outer convective cells have stronger and deeper vertical advection that leads to higher outflow layers and higher tangential jets. The presence of increased CAPE and buoyant updrafts at these radii explains these deeper precipitation cores and circulations. Meanwhile, the inner convective cells occur on a background vortex circulation with stronger tangential flow and low-level inflow. The increased inflow leads to a tangential jet at lower levels because the weaker updrafts cannot advect the enhanced tangential winds into higher altitudes. Thus, the tangential jet mostly remains in the low levels. </w:t>
      </w:r>
    </w:p>
    <w:p w:rsidR="003926B2" w:rsidRPr="00CA201E" w:rsidRDefault="003926B2" w:rsidP="00637E95">
      <w:pPr>
        <w:spacing w:after="120" w:line="240" w:lineRule="auto"/>
        <w:ind w:firstLine="720"/>
        <w:rPr>
          <w:rFonts w:ascii="Arial" w:hAnsi="Arial" w:cs="Arial"/>
          <w:sz w:val="20"/>
          <w:szCs w:val="20"/>
        </w:rPr>
      </w:pPr>
      <w:r w:rsidRPr="00CA201E">
        <w:rPr>
          <w:rFonts w:ascii="Arial" w:hAnsi="Arial" w:cs="Arial"/>
          <w:sz w:val="20"/>
          <w:szCs w:val="20"/>
        </w:rPr>
        <w:lastRenderedPageBreak/>
        <w:t>While the vortex dynamics affect the convective-scale structures of rainband cells, these recurring structures may also have an influence back onto the overall vortex structure. Convectively-generated jets that are supergradient and remain in the lower levels are more likely to further enhance inner-core convection. This enhanced convection can have an upscale feedback that promotes the formation of a secondary eyewall.</w:t>
      </w: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8.1.2.1.2  Tropical cyclone rainband complexes:  Stratiform end of rainband complexes</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 xml:space="preserve">In the downwind portion of the stationary rainband complex, slowly falling ice particles ejected from the upwind convective cells merge into a mesoscale, relatively invariant swath of stratiform precipitation (Hence and Houze 2012). This downwind stratiform precipitation, which is located to the north and west of the eye in Fig. 9, is distinct from the stratiform portions of more active rainbands containing embedded convective cells (Powell 1990). The rainband has reflectivities with a median value of 30 dBZ in the lower troposphere and a clear bright band at 4.5 km altitude. A line of enhanced reflectivity (~35 dBZ) develops within the rainband that is not produced by convective updrafts, but rather results from the heating and cooling patterns within the stratiform cloud. </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Small vertical velocities (&lt; 2 m s</w:t>
      </w:r>
      <w:r w:rsidRPr="00CA201E">
        <w:rPr>
          <w:rFonts w:ascii="Arial" w:hAnsi="Arial" w:cs="Arial"/>
          <w:sz w:val="20"/>
          <w:szCs w:val="20"/>
          <w:vertAlign w:val="superscript"/>
        </w:rPr>
        <w:t>-1</w:t>
      </w:r>
      <w:r w:rsidRPr="00CA201E">
        <w:rPr>
          <w:rFonts w:ascii="Arial" w:hAnsi="Arial" w:cs="Arial"/>
          <w:sz w:val="20"/>
          <w:szCs w:val="20"/>
        </w:rPr>
        <w:t>)  exist in the stratiform rainband that transport upward air that originated on the radially inner side of the band and continue as rising radial outflow (as shown in Figure 10c). This stratiform cloud layer thus has latent heating due to this upward transport. Below the cloud layer, downward transport is connected to the descending radial inflow in response to two regions of latent cooling. In the outer, upper regions of the rainband, sublimational cooling introduces horizontal buoyancy gradients,  that have associated horizontal vorticity and descending inflow similar to that of the trailing-stratiform region of a mesoscale convective system. Within the zone of heavier stratiform precipitation, melting cooling along the outer rainband edge creates a midlevel horizontal buoyancy gradient across the rainband that transports air farther inward beneath the bright band. The organization of this transport and the rainfall reflectivity signature initially is robust but fades downwind as the convection dissipates.</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This surge of midlevel inflow associated with the heaviest precipitation converges with the rising outflow along the inner rainband and the inflow branches off in three directions. Some of the inflow turns upward, which locally enhances the precipitation and creates the collocated enhanced reflectivity column. Some of the inflow continues downward into the boundary layer, which locally enhances the frictional inflow. The remaining inflow continues inward along midlevel altitudes but at weaker speeds.</w:t>
      </w:r>
    </w:p>
    <w:p w:rsidR="003926B2" w:rsidRPr="00CA201E" w:rsidRDefault="003926B2" w:rsidP="004B6A1E">
      <w:pPr>
        <w:widowControl w:val="0"/>
        <w:autoSpaceDE w:val="0"/>
        <w:autoSpaceDN w:val="0"/>
        <w:adjustRightInd w:val="0"/>
        <w:spacing w:after="120" w:line="240" w:lineRule="auto"/>
        <w:ind w:firstLine="720"/>
        <w:rPr>
          <w:rFonts w:ascii="Arial" w:hAnsi="Arial" w:cs="Arial"/>
          <w:sz w:val="20"/>
          <w:szCs w:val="20"/>
        </w:rPr>
      </w:pPr>
      <w:r w:rsidRPr="00CA201E">
        <w:rPr>
          <w:rFonts w:ascii="Arial" w:hAnsi="Arial" w:cs="Arial"/>
          <w:sz w:val="20"/>
          <w:szCs w:val="20"/>
        </w:rPr>
        <w:t>The descending inflow within the stratiform rainband results in convergence of angular momentum above the boundary layer and broadening of the tangential wind field. At the radial location where inflow suddenly converges, a midlevel tangential jet develops that extends to the downwind end of the rainband complex. This circulation may also contribute to ventilation of the eyewall as inflow of low-entropy air continues past the rainband in both the boundary layer and midlevels. Given the large expanse of the stratiform rainband region, its thermodynamic and kinematic impacts likely modify the structure and intensity of the TC vortex.</w:t>
      </w:r>
    </w:p>
    <w:p w:rsidR="005162F6" w:rsidRPr="00CA201E" w:rsidRDefault="005162F6" w:rsidP="005162F6">
      <w:pPr>
        <w:spacing w:after="120" w:line="240" w:lineRule="auto"/>
        <w:rPr>
          <w:rFonts w:ascii="Arial" w:hAnsi="Arial" w:cs="Arial"/>
          <w:b/>
          <w:sz w:val="20"/>
          <w:szCs w:val="20"/>
        </w:rPr>
      </w:pPr>
      <w:r w:rsidRPr="00CA201E">
        <w:rPr>
          <w:rFonts w:ascii="Arial" w:hAnsi="Arial" w:cs="Arial"/>
          <w:b/>
          <w:sz w:val="20"/>
          <w:szCs w:val="20"/>
        </w:rPr>
        <w:t>8.1.2.2  Long-lasting Rainbands Outside the Eyewall Region of Western North Pacific Tropical Cyclones</w:t>
      </w: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8.1.2.2.0  Long-lasting Rainbands Outside the Eyewall Region of Western North Pacific Tropical Cyclones:  Introduction</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 xml:space="preserve">Forecasting the long-lasting torrential rainfall outside the tropical cyclone (TC) eyewall region is an important operational issue for TC warning and disaster management in the western North Pacific. A well-known example is TY Morakot (2009) that produced record-breaking rainfall &gt; 3000 mm well to the south of the center after it passed over northern Taiwan, which made TY Morakot the deadliest typhoon to impact Taiwan in recorded history. The record accumulated rainfall over southern Taiwan during 6-10 August 2009 due to TY Morakot has been related to the interaction between the TC circulation and the southwest monsoon (Chien and Kuo 2011; Lee et al. 2011).  A mesoscale convective complex (MCC, Maddox 1980) developed over the Taiwan Strait about 300 km south of the TC center that included a quasi-stationary and long-lasting convective band. The interaction of this MCC with the steep Taiwan terrain produced extremely intense rainfall of approximately 1500 mm from 1200 UTC 8 August to 0300 UTC 9 August 2009 (Lee et al. 2012). </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lastRenderedPageBreak/>
        <w:t xml:space="preserve">Lee et al. (2012) defined </w:t>
      </w:r>
      <w:r w:rsidR="00390E9D">
        <w:rPr>
          <w:rFonts w:ascii="Arial" w:hAnsi="Arial" w:cs="Arial"/>
          <w:sz w:val="20"/>
          <w:szCs w:val="20"/>
        </w:rPr>
        <w:t>“</w:t>
      </w:r>
      <w:r w:rsidRPr="00CA201E">
        <w:rPr>
          <w:rFonts w:ascii="Arial" w:hAnsi="Arial" w:cs="Arial"/>
          <w:i/>
          <w:sz w:val="20"/>
          <w:szCs w:val="20"/>
        </w:rPr>
        <w:t>outer-MCS</w:t>
      </w:r>
      <w:r w:rsidRPr="00CA201E">
        <w:rPr>
          <w:rFonts w:ascii="Arial" w:hAnsi="Arial" w:cs="Arial"/>
          <w:sz w:val="20"/>
          <w:szCs w:val="20"/>
        </w:rPr>
        <w:t>s" (OMCSs) as convective systems that develop in a distant rainband of a TC, have a large cold cloud shield (area of the 208 K cold cloud shield must exceed 72000 km</w:t>
      </w:r>
      <w:r w:rsidRPr="00CA201E">
        <w:rPr>
          <w:rFonts w:ascii="Arial" w:hAnsi="Arial" w:cs="Arial"/>
          <w:sz w:val="20"/>
          <w:szCs w:val="20"/>
          <w:vertAlign w:val="superscript"/>
        </w:rPr>
        <w:t>2</w:t>
      </w:r>
      <w:r w:rsidRPr="00CA201E">
        <w:rPr>
          <w:rFonts w:ascii="Arial" w:hAnsi="Arial" w:cs="Arial"/>
          <w:sz w:val="20"/>
          <w:szCs w:val="20"/>
        </w:rPr>
        <w:t>), and persist for more than six hours based on hourly infrared channel-1 (IR1) cloud-top temperatures and passive microwave (PMW) images. They documented 109 OMCSs in 22% of the western North Pacific TCs that occurred from 1999 to 2009.</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Chen et al. (2014a) studied the development, kinematic structure, and maintenance mechanisms of an OMCS (Fig</w:t>
      </w:r>
      <w:r w:rsidR="00390E9D">
        <w:rPr>
          <w:rFonts w:ascii="Arial" w:hAnsi="Arial" w:cs="Arial"/>
          <w:sz w:val="20"/>
          <w:szCs w:val="20"/>
        </w:rPr>
        <w:t>. 11</w:t>
      </w:r>
      <w:r w:rsidRPr="00CA201E">
        <w:rPr>
          <w:rFonts w:ascii="Arial" w:hAnsi="Arial" w:cs="Arial"/>
          <w:sz w:val="20"/>
          <w:szCs w:val="20"/>
        </w:rPr>
        <w:t>a) that occurred to the southwest of TY Fengshen (2008) using observations and Weather Research and Forecasting model simulations. A key feature of the OMCS conceptual model (Fig. 11) from the Chen et al. (2014a, Fig. 18) study is that the interaction between a nearly north-to-south elongated moisture band in the TY Fengshen northerly circulation and the low-level monsoonal southwesterly flow results in the formation of the OMCS (Fig. 11b).</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The kinematic structure of the simulated convection in the OMCS was composed of a continuous line of convective cells and a large stratiform precipitation region to the south of the convective line as shown in the schematic in Fig. 11c. As the OMCS developed in the region of low-level monsoon westerlies and mid-level northerlies associated with the outer circulation of Fengshen, the simulated OMCS had a structure in the cross-line direction similar to the rear-fed inflow and leading stratiform type of MCS (Pettet and Johnson 2003). Furthermore, a strong cold pool (Δθ</w:t>
      </w:r>
      <w:r w:rsidRPr="00CA201E">
        <w:rPr>
          <w:rFonts w:ascii="Arial" w:hAnsi="Arial" w:cs="Arial"/>
          <w:i/>
          <w:iCs/>
          <w:sz w:val="20"/>
          <w:szCs w:val="20"/>
        </w:rPr>
        <w:t xml:space="preserve"> &gt; - 3 K</w:t>
      </w:r>
      <w:r w:rsidRPr="00CA201E">
        <w:rPr>
          <w:rFonts w:ascii="Arial" w:hAnsi="Arial" w:cs="Arial"/>
          <w:sz w:val="20"/>
          <w:szCs w:val="20"/>
        </w:rPr>
        <w:t>) was simulated in association with the large stratiform precipitation region over a layer of dry air (blue arrow in Fig. 11b and yellow shaded area in Fig. 11c) in the lower to middle  troposphere. Continual cell formations were simulated where the</w:t>
      </w:r>
      <w:r w:rsidRPr="00CA201E">
        <w:rPr>
          <w:rFonts w:ascii="Arial" w:hAnsi="Arial" w:cs="Arial"/>
          <w:i/>
          <w:sz w:val="20"/>
          <w:szCs w:val="20"/>
        </w:rPr>
        <w:t xml:space="preserve"> </w:t>
      </w:r>
      <w:r w:rsidRPr="00CA201E">
        <w:rPr>
          <w:rFonts w:ascii="Arial" w:hAnsi="Arial" w:cs="Arial"/>
          <w:i/>
          <w:iCs/>
          <w:sz w:val="20"/>
          <w:szCs w:val="20"/>
        </w:rPr>
        <w:t xml:space="preserve">air with </w:t>
      </w:r>
      <w:r w:rsidRPr="00CA201E">
        <w:rPr>
          <w:rFonts w:ascii="Arial" w:hAnsi="Arial" w:cs="Arial"/>
          <w:sz w:val="20"/>
          <w:szCs w:val="20"/>
        </w:rPr>
        <w:t>high</w:t>
      </w:r>
      <w:r w:rsidRPr="00CA201E">
        <w:rPr>
          <w:rFonts w:ascii="Arial" w:hAnsi="Arial" w:cs="Arial"/>
          <w:i/>
          <w:sz w:val="20"/>
          <w:szCs w:val="20"/>
        </w:rPr>
        <w:t xml:space="preserve"> </w:t>
      </w:r>
      <w:r w:rsidRPr="00CA201E">
        <w:rPr>
          <w:rFonts w:ascii="Arial" w:hAnsi="Arial" w:cs="Arial"/>
          <w:sz w:val="20"/>
          <w:szCs w:val="20"/>
        </w:rPr>
        <w:t>θ</w:t>
      </w:r>
      <w:r w:rsidRPr="00CA201E">
        <w:rPr>
          <w:rFonts w:ascii="Arial" w:hAnsi="Arial" w:cs="Arial"/>
          <w:sz w:val="20"/>
          <w:szCs w:val="20"/>
          <w:vertAlign w:val="subscript"/>
        </w:rPr>
        <w:t>e</w:t>
      </w:r>
      <w:r w:rsidRPr="00CA201E">
        <w:rPr>
          <w:rFonts w:ascii="Arial" w:hAnsi="Arial" w:cs="Arial"/>
          <w:i/>
          <w:iCs/>
          <w:sz w:val="20"/>
          <w:szCs w:val="20"/>
        </w:rPr>
        <w:t xml:space="preserve"> values from the north converged with</w:t>
      </w:r>
      <w:r w:rsidRPr="00CA201E">
        <w:rPr>
          <w:rFonts w:ascii="Arial" w:hAnsi="Arial" w:cs="Arial"/>
          <w:sz w:val="20"/>
          <w:szCs w:val="20"/>
        </w:rPr>
        <w:t xml:space="preserve"> the leading (northern) edge of the cold pool, which contributed to the longer duration of this OMCS than typically exists for TC rainbands.</w:t>
      </w:r>
    </w:p>
    <w:p w:rsidR="003926B2" w:rsidRPr="00C926FC" w:rsidRDefault="003926B2" w:rsidP="003926B2">
      <w:pPr>
        <w:spacing w:line="360" w:lineRule="auto"/>
        <w:jc w:val="center"/>
      </w:pPr>
      <w:r w:rsidRPr="00C926FC">
        <w:rPr>
          <w:noProof/>
        </w:rPr>
        <w:lastRenderedPageBreak/>
        <w:drawing>
          <wp:inline distT="0" distB="0" distL="0" distR="0" wp14:anchorId="3BB102AE" wp14:editId="10C09F7C">
            <wp:extent cx="5130165" cy="5890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0165" cy="5890260"/>
                    </a:xfrm>
                    <a:prstGeom prst="rect">
                      <a:avLst/>
                    </a:prstGeom>
                    <a:noFill/>
                    <a:ln>
                      <a:noFill/>
                    </a:ln>
                  </pic:spPr>
                </pic:pic>
              </a:graphicData>
            </a:graphic>
          </wp:inline>
        </w:drawing>
      </w:r>
    </w:p>
    <w:p w:rsidR="003926B2" w:rsidRPr="00CA201E" w:rsidRDefault="003926B2" w:rsidP="00CA201E">
      <w:pPr>
        <w:spacing w:after="120" w:line="240" w:lineRule="auto"/>
        <w:jc w:val="both"/>
        <w:rPr>
          <w:rFonts w:ascii="Arial" w:hAnsi="Arial" w:cs="Arial"/>
          <w:sz w:val="20"/>
          <w:szCs w:val="20"/>
        </w:rPr>
      </w:pPr>
      <w:r w:rsidRPr="0065594E">
        <w:rPr>
          <w:rFonts w:ascii="Arial" w:hAnsi="Arial" w:cs="Arial"/>
          <w:b/>
          <w:sz w:val="20"/>
          <w:szCs w:val="20"/>
        </w:rPr>
        <w:t>Figure 11</w:t>
      </w:r>
      <w:r w:rsidRPr="0065594E">
        <w:rPr>
          <w:rFonts w:ascii="Arial" w:hAnsi="Arial" w:cs="Arial"/>
          <w:sz w:val="20"/>
          <w:szCs w:val="20"/>
        </w:rPr>
        <w:t>. (a) Schematic diagram of radar reflectivity with a long-lasting OMCS well to the southwest of the TC center</w:t>
      </w:r>
      <w:r w:rsidR="00123148">
        <w:rPr>
          <w:rFonts w:ascii="Arial" w:hAnsi="Arial" w:cs="Arial"/>
          <w:sz w:val="20"/>
          <w:szCs w:val="20"/>
        </w:rPr>
        <w:t xml:space="preserve"> (Chen et al. 2014a)</w:t>
      </w:r>
      <w:r w:rsidRPr="0065594E">
        <w:rPr>
          <w:rFonts w:ascii="Arial" w:hAnsi="Arial" w:cs="Arial"/>
          <w:sz w:val="20"/>
          <w:szCs w:val="20"/>
        </w:rPr>
        <w:t>. (b) Conceptual model (from Chen et al. 2014</w:t>
      </w:r>
      <w:r>
        <w:rPr>
          <w:rFonts w:ascii="Arial" w:hAnsi="Arial" w:cs="Arial"/>
          <w:sz w:val="20"/>
          <w:szCs w:val="20"/>
        </w:rPr>
        <w:t>a</w:t>
      </w:r>
      <w:r w:rsidRPr="0065594E">
        <w:rPr>
          <w:rFonts w:ascii="Arial" w:hAnsi="Arial" w:cs="Arial"/>
          <w:sz w:val="20"/>
          <w:szCs w:val="20"/>
        </w:rPr>
        <w:t>, Fig. 18) of the TC-monsoon flow interaction that is favorable for the OMCS development (star) with the streamlines of the TY Fengshen circulation affected (not affected) by the Luzon terrain indicated by solid (dashed) lines. The outer TC circulation streamlines (heavy black lines with arrows), the north-south moisture band (green shading), and the wavenumber 1 vorticity asymmetry (red, dashed lines) that is consistent with the vertical wind shear (VWS, thick black arrow) are indicated. (c) Conceptual model of kinematic structure of OMCS in height-latitude cross-section from A to B in panel (a) for radar reflectivity, θ, θ</w:t>
      </w:r>
      <w:r w:rsidRPr="0065594E">
        <w:rPr>
          <w:rFonts w:ascii="Arial" w:hAnsi="Arial" w:cs="Arial"/>
          <w:sz w:val="20"/>
          <w:szCs w:val="20"/>
          <w:vertAlign w:val="subscript"/>
        </w:rPr>
        <w:t>e</w:t>
      </w:r>
      <w:r w:rsidRPr="0065594E">
        <w:rPr>
          <w:rFonts w:ascii="Arial" w:hAnsi="Arial" w:cs="Arial"/>
          <w:sz w:val="20"/>
          <w:szCs w:val="20"/>
        </w:rPr>
        <w:t>, wind speed (arrows), and low-level jet</w:t>
      </w:r>
      <w:r w:rsidR="00123148">
        <w:rPr>
          <w:rFonts w:ascii="Arial" w:hAnsi="Arial" w:cs="Arial"/>
          <w:sz w:val="20"/>
          <w:szCs w:val="20"/>
        </w:rPr>
        <w:t xml:space="preserve"> (Chen et al. 2014a)</w:t>
      </w:r>
      <w:r w:rsidRPr="0065594E">
        <w:rPr>
          <w:rFonts w:ascii="Arial" w:hAnsi="Arial" w:cs="Arial"/>
          <w:sz w:val="20"/>
          <w:szCs w:val="20"/>
        </w:rPr>
        <w:t>.</w:t>
      </w:r>
    </w:p>
    <w:p w:rsidR="004B6A1E" w:rsidRDefault="004B6A1E" w:rsidP="00CA201E">
      <w:pPr>
        <w:spacing w:after="120" w:line="240" w:lineRule="auto"/>
        <w:rPr>
          <w:rFonts w:ascii="Arial" w:hAnsi="Arial" w:cs="Arial"/>
          <w:b/>
          <w:sz w:val="20"/>
          <w:szCs w:val="20"/>
        </w:rPr>
      </w:pPr>
    </w:p>
    <w:p w:rsidR="004B6A1E" w:rsidRDefault="004B6A1E" w:rsidP="00CA201E">
      <w:pPr>
        <w:spacing w:after="120" w:line="240" w:lineRule="auto"/>
        <w:rPr>
          <w:rFonts w:ascii="Arial" w:hAnsi="Arial" w:cs="Arial"/>
          <w:b/>
          <w:sz w:val="20"/>
          <w:szCs w:val="20"/>
        </w:rPr>
      </w:pP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lastRenderedPageBreak/>
        <w:t xml:space="preserve">8.1.2.2.1  Long-lasting Rainbands Outside the Eyewall Region of Western North Pacific Tropical Cyclones:  Generality of the Fengshen-based OMCS conceptual model </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 xml:space="preserve">A key feature in the Fengshen-based conceptual model (Fig. 11b) is the interaction of an elongated moisture band in the TC northerly circulation with the low-level monsoon flows. Since 83 of the 85 south-type OMCSs documented by Chen et al. (2014b) did have a moisture band at 950 hPa, the primary classification is according to their formation locations with respect to the confluence region between the outer TC circulation and the monsoon flow. If the OMCS developed less than 100 km from the confluence region of northerly TC circulation with the monsoon flow, it will be classified as an “Intersection (I)” type. Otherwise, the OMCS will be classified as an “Upstream (U)” type if it developed in the TC circulation north of the confluence region, or as a “Southwesterly (SW)” type if it developed within the southwest monsoon flow south of the confluence region. If the moisture band associated with the OMCS developed in the TC northerly or southerly circulation or within the southwest monsoon flow, it will be classified as “TC (T)” type or “Monsoon (M)” type, respectively.  </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A further sub-classification is added as to whether the I-T OMCSs developed in the west quadrant (as the York case) or in the south quadrant (as the Bilis case). This sub-classification is important for rainfall forecasting in cases such as TY Mindulle (2004) and TY Morakot (2009) that produced an OMCS south of the center with heavy rainfall over southern Taiwan. If these TCs had produced OMCSs to the west, the torrential rainfall would have occurred over the sea.  Therefore, all I-T OMCSs will be further classified into western I</w:t>
      </w:r>
      <w:r w:rsidRPr="00CA201E">
        <w:rPr>
          <w:rFonts w:ascii="Arial" w:hAnsi="Arial" w:cs="Arial"/>
          <w:sz w:val="20"/>
          <w:szCs w:val="20"/>
          <w:vertAlign w:val="subscript"/>
        </w:rPr>
        <w:t>w</w:t>
      </w:r>
      <w:r w:rsidRPr="00CA201E">
        <w:rPr>
          <w:rFonts w:ascii="Arial" w:hAnsi="Arial" w:cs="Arial"/>
          <w:sz w:val="20"/>
          <w:szCs w:val="20"/>
        </w:rPr>
        <w:t>-T or southern I</w:t>
      </w:r>
      <w:r w:rsidRPr="00CA201E">
        <w:rPr>
          <w:rFonts w:ascii="Arial" w:hAnsi="Arial" w:cs="Arial"/>
          <w:sz w:val="20"/>
          <w:szCs w:val="20"/>
          <w:vertAlign w:val="subscript"/>
        </w:rPr>
        <w:t>s</w:t>
      </w:r>
      <w:r w:rsidRPr="00CA201E">
        <w:rPr>
          <w:rFonts w:ascii="Arial" w:hAnsi="Arial" w:cs="Arial"/>
          <w:sz w:val="20"/>
          <w:szCs w:val="20"/>
        </w:rPr>
        <w:t xml:space="preserve">-T types. </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Thus, four types of OMCSs are classified (Table 1). The I-T, U-T, and SW-M OMCSs account for 95% of the 85 south-type OMCSs that have been examined in this study. The I-T OMCS is most similar to the Fengshen-based conceptual model (Fig. 11) from Chen et al. (2014a), and accounts for 51% of the 85 OMCSs.  Since the U-T OMCSs account for 29%, the combination of I-T and U-T OMCSs accounts for 80% of the 85 OMCSs, which indicates the importance for the formation of the OMCSs of the moisture band that forms in the TC northerly circulation (Chen et al. 2014a).</w:t>
      </w:r>
    </w:p>
    <w:p w:rsidR="003926B2" w:rsidRPr="0065594E" w:rsidRDefault="003926B2" w:rsidP="00CA201E">
      <w:pPr>
        <w:spacing w:after="120" w:line="240" w:lineRule="auto"/>
        <w:jc w:val="both"/>
        <w:rPr>
          <w:rFonts w:ascii="Arial" w:hAnsi="Arial" w:cs="Arial"/>
          <w:sz w:val="20"/>
          <w:szCs w:val="20"/>
        </w:rPr>
      </w:pPr>
      <w:r w:rsidRPr="0065594E">
        <w:rPr>
          <w:rFonts w:ascii="Arial" w:hAnsi="Arial" w:cs="Arial"/>
          <w:b/>
          <w:sz w:val="20"/>
          <w:szCs w:val="20"/>
        </w:rPr>
        <w:t xml:space="preserve">Table 1. </w:t>
      </w:r>
      <w:r w:rsidRPr="0065594E">
        <w:rPr>
          <w:rFonts w:ascii="Arial" w:hAnsi="Arial" w:cs="Arial"/>
          <w:sz w:val="20"/>
          <w:szCs w:val="20"/>
        </w:rPr>
        <w:t xml:space="preserve"> Classification by the OMCS development region relative to 950 hPa flow patterns (Upstream, Intersection and Southwesterly) and by the origin of the associated 950 hPa moisture bands (TC and Monsoon) for the 85 south-type OMCSs.</w:t>
      </w:r>
    </w:p>
    <w:p w:rsidR="003926B2" w:rsidRPr="00C926FC" w:rsidRDefault="003926B2" w:rsidP="00CA201E">
      <w:pPr>
        <w:spacing w:after="12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18"/>
        <w:gridCol w:w="1818"/>
        <w:gridCol w:w="1818"/>
        <w:gridCol w:w="1818"/>
      </w:tblGrid>
      <w:tr w:rsidR="003926B2" w:rsidRPr="0065594E" w:rsidTr="00EC65B9">
        <w:trPr>
          <w:trHeight w:val="420"/>
          <w:jc w:val="center"/>
        </w:trPr>
        <w:tc>
          <w:tcPr>
            <w:tcW w:w="1818" w:type="dxa"/>
            <w:tcBorders>
              <w:top w:val="single" w:sz="12" w:space="0" w:color="auto"/>
              <w:left w:val="nil"/>
              <w:bottom w:val="single" w:sz="8" w:space="0" w:color="auto"/>
              <w:right w:val="single" w:sz="4" w:space="0" w:color="auto"/>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rPr>
              <w:t>Moisture band</w:t>
            </w:r>
          </w:p>
        </w:tc>
        <w:tc>
          <w:tcPr>
            <w:tcW w:w="1818" w:type="dxa"/>
            <w:tcBorders>
              <w:top w:val="single" w:sz="12" w:space="0" w:color="auto"/>
              <w:left w:val="single" w:sz="4" w:space="0" w:color="auto"/>
              <w:bottom w:val="single" w:sz="8" w:space="0" w:color="auto"/>
              <w:right w:val="nil"/>
            </w:tcBorders>
            <w:vAlign w:val="center"/>
            <w:hideMark/>
          </w:tcPr>
          <w:p w:rsidR="003926B2" w:rsidRPr="0065594E" w:rsidRDefault="003926B2" w:rsidP="00CA201E">
            <w:pPr>
              <w:spacing w:after="120" w:line="240" w:lineRule="auto"/>
              <w:rPr>
                <w:rFonts w:ascii="Arial" w:hAnsi="Arial" w:cs="Arial"/>
                <w:b/>
              </w:rPr>
            </w:pPr>
            <w:r w:rsidRPr="0065594E">
              <w:rPr>
                <w:rFonts w:ascii="Arial" w:hAnsi="Arial" w:cs="Arial"/>
                <w:bCs/>
              </w:rPr>
              <w:t>Upstream</w:t>
            </w:r>
            <w:r w:rsidRPr="0065594E">
              <w:rPr>
                <w:rFonts w:ascii="Arial" w:hAnsi="Arial" w:cs="Arial"/>
                <w:bCs/>
              </w:rPr>
              <w:br/>
              <w:t xml:space="preserve">(U) </w:t>
            </w:r>
          </w:p>
        </w:tc>
        <w:tc>
          <w:tcPr>
            <w:tcW w:w="1818" w:type="dxa"/>
            <w:tcBorders>
              <w:top w:val="single" w:sz="12" w:space="0" w:color="auto"/>
              <w:left w:val="nil"/>
              <w:bottom w:val="single" w:sz="8" w:space="0" w:color="auto"/>
              <w:right w:val="nil"/>
            </w:tcBorders>
            <w:vAlign w:val="center"/>
            <w:hideMark/>
          </w:tcPr>
          <w:p w:rsidR="003926B2" w:rsidRPr="0065594E" w:rsidRDefault="003926B2" w:rsidP="00CA201E">
            <w:pPr>
              <w:spacing w:after="120" w:line="240" w:lineRule="auto"/>
              <w:rPr>
                <w:rFonts w:ascii="Arial" w:hAnsi="Arial" w:cs="Arial"/>
                <w:b/>
              </w:rPr>
            </w:pPr>
            <w:r w:rsidRPr="0065594E">
              <w:rPr>
                <w:rFonts w:ascii="Arial" w:hAnsi="Arial" w:cs="Arial"/>
                <w:bCs/>
              </w:rPr>
              <w:t>Intersection</w:t>
            </w:r>
            <w:r w:rsidRPr="0065594E">
              <w:rPr>
                <w:rFonts w:ascii="Arial" w:hAnsi="Arial" w:cs="Arial"/>
                <w:bCs/>
              </w:rPr>
              <w:br/>
              <w:t>(I)</w:t>
            </w:r>
          </w:p>
        </w:tc>
        <w:tc>
          <w:tcPr>
            <w:tcW w:w="1818" w:type="dxa"/>
            <w:tcBorders>
              <w:top w:val="single" w:sz="12" w:space="0" w:color="auto"/>
              <w:left w:val="nil"/>
              <w:bottom w:val="single" w:sz="8" w:space="0" w:color="auto"/>
              <w:right w:val="nil"/>
            </w:tcBorders>
            <w:vAlign w:val="center"/>
            <w:hideMark/>
          </w:tcPr>
          <w:p w:rsidR="003926B2" w:rsidRPr="0065594E" w:rsidRDefault="003926B2" w:rsidP="00CA201E">
            <w:pPr>
              <w:spacing w:after="120" w:line="240" w:lineRule="auto"/>
              <w:rPr>
                <w:rFonts w:ascii="Arial" w:hAnsi="Arial" w:cs="Arial"/>
                <w:b/>
              </w:rPr>
            </w:pPr>
            <w:r w:rsidRPr="0065594E">
              <w:rPr>
                <w:rFonts w:ascii="Arial" w:hAnsi="Arial" w:cs="Arial"/>
                <w:bCs/>
              </w:rPr>
              <w:t>Southwesterly</w:t>
            </w:r>
            <w:r w:rsidRPr="0065594E">
              <w:rPr>
                <w:rFonts w:ascii="Arial" w:hAnsi="Arial" w:cs="Arial"/>
                <w:bCs/>
              </w:rPr>
              <w:br/>
              <w:t>(SW)</w:t>
            </w:r>
          </w:p>
        </w:tc>
      </w:tr>
      <w:tr w:rsidR="003926B2" w:rsidRPr="0065594E" w:rsidTr="00EC65B9">
        <w:trPr>
          <w:trHeight w:val="508"/>
          <w:jc w:val="center"/>
        </w:trPr>
        <w:tc>
          <w:tcPr>
            <w:tcW w:w="1818" w:type="dxa"/>
            <w:tcBorders>
              <w:top w:val="single" w:sz="8" w:space="0" w:color="auto"/>
              <w:left w:val="nil"/>
              <w:bottom w:val="nil"/>
              <w:right w:val="single" w:sz="4" w:space="0" w:color="auto"/>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bCs/>
              </w:rPr>
              <w:t xml:space="preserve">TC </w:t>
            </w:r>
            <w:r w:rsidRPr="0065594E">
              <w:rPr>
                <w:rFonts w:ascii="Arial" w:hAnsi="Arial" w:cs="Arial"/>
                <w:b/>
                <w:bCs/>
              </w:rPr>
              <w:t>(T)</w:t>
            </w:r>
          </w:p>
        </w:tc>
        <w:tc>
          <w:tcPr>
            <w:tcW w:w="1818" w:type="dxa"/>
            <w:tcBorders>
              <w:top w:val="single" w:sz="8" w:space="0" w:color="auto"/>
              <w:left w:val="single" w:sz="4" w:space="0" w:color="auto"/>
              <w:bottom w:val="nil"/>
              <w:right w:val="nil"/>
            </w:tcBorders>
            <w:vAlign w:val="center"/>
            <w:hideMark/>
          </w:tcPr>
          <w:p w:rsidR="003926B2" w:rsidRPr="0065594E" w:rsidRDefault="003926B2" w:rsidP="00CA201E">
            <w:pPr>
              <w:spacing w:after="120" w:line="240" w:lineRule="auto"/>
              <w:rPr>
                <w:rFonts w:ascii="Arial" w:hAnsi="Arial" w:cs="Arial"/>
                <w:b/>
              </w:rPr>
            </w:pPr>
            <w:r w:rsidRPr="0065594E">
              <w:rPr>
                <w:rFonts w:ascii="Arial" w:hAnsi="Arial" w:cs="Arial"/>
                <w:b/>
                <w:bCs/>
              </w:rPr>
              <w:t>25 (29%)</w:t>
            </w:r>
          </w:p>
        </w:tc>
        <w:tc>
          <w:tcPr>
            <w:tcW w:w="1818" w:type="dxa"/>
            <w:tcBorders>
              <w:top w:val="single" w:sz="8" w:space="0" w:color="auto"/>
              <w:left w:val="nil"/>
              <w:bottom w:val="nil"/>
              <w:right w:val="nil"/>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b/>
                <w:bCs/>
              </w:rPr>
              <w:t>43 (51%)</w:t>
            </w:r>
          </w:p>
        </w:tc>
        <w:tc>
          <w:tcPr>
            <w:tcW w:w="1818" w:type="dxa"/>
            <w:tcBorders>
              <w:top w:val="single" w:sz="8" w:space="0" w:color="auto"/>
              <w:left w:val="nil"/>
              <w:bottom w:val="nil"/>
              <w:right w:val="nil"/>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rPr>
              <w:t>-</w:t>
            </w:r>
          </w:p>
        </w:tc>
      </w:tr>
      <w:tr w:rsidR="003926B2" w:rsidRPr="0065594E" w:rsidTr="00EC65B9">
        <w:trPr>
          <w:trHeight w:val="508"/>
          <w:jc w:val="center"/>
        </w:trPr>
        <w:tc>
          <w:tcPr>
            <w:tcW w:w="1818" w:type="dxa"/>
            <w:tcBorders>
              <w:top w:val="nil"/>
              <w:left w:val="nil"/>
              <w:bottom w:val="single" w:sz="18" w:space="0" w:color="auto"/>
              <w:right w:val="single" w:sz="4" w:space="0" w:color="auto"/>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bCs/>
              </w:rPr>
              <w:t xml:space="preserve">Monsoon </w:t>
            </w:r>
            <w:r w:rsidRPr="0065594E">
              <w:rPr>
                <w:rFonts w:ascii="Arial" w:hAnsi="Arial" w:cs="Arial"/>
                <w:b/>
                <w:bCs/>
              </w:rPr>
              <w:t>(M)</w:t>
            </w:r>
          </w:p>
        </w:tc>
        <w:tc>
          <w:tcPr>
            <w:tcW w:w="1818" w:type="dxa"/>
            <w:tcBorders>
              <w:top w:val="nil"/>
              <w:left w:val="single" w:sz="4" w:space="0" w:color="auto"/>
              <w:bottom w:val="single" w:sz="18" w:space="0" w:color="auto"/>
              <w:right w:val="nil"/>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rPr>
              <w:t>-</w:t>
            </w:r>
          </w:p>
        </w:tc>
        <w:tc>
          <w:tcPr>
            <w:tcW w:w="1818" w:type="dxa"/>
            <w:tcBorders>
              <w:top w:val="nil"/>
              <w:left w:val="nil"/>
              <w:bottom w:val="single" w:sz="18" w:space="0" w:color="auto"/>
              <w:right w:val="nil"/>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rPr>
              <w:t>2</w:t>
            </w:r>
          </w:p>
        </w:tc>
        <w:tc>
          <w:tcPr>
            <w:tcW w:w="1818" w:type="dxa"/>
            <w:tcBorders>
              <w:top w:val="nil"/>
              <w:left w:val="nil"/>
              <w:bottom w:val="single" w:sz="18" w:space="0" w:color="auto"/>
              <w:right w:val="nil"/>
            </w:tcBorders>
            <w:vAlign w:val="center"/>
            <w:hideMark/>
          </w:tcPr>
          <w:p w:rsidR="003926B2" w:rsidRPr="0065594E" w:rsidRDefault="003926B2" w:rsidP="00CA201E">
            <w:pPr>
              <w:spacing w:after="120" w:line="240" w:lineRule="auto"/>
              <w:rPr>
                <w:rFonts w:ascii="Arial" w:hAnsi="Arial" w:cs="Arial"/>
              </w:rPr>
            </w:pPr>
            <w:r w:rsidRPr="0065594E">
              <w:rPr>
                <w:rFonts w:ascii="Arial" w:hAnsi="Arial" w:cs="Arial"/>
                <w:bCs/>
              </w:rPr>
              <w:t>13 (15%)</w:t>
            </w:r>
          </w:p>
        </w:tc>
      </w:tr>
    </w:tbl>
    <w:p w:rsidR="003926B2" w:rsidRPr="00C926FC" w:rsidRDefault="003926B2" w:rsidP="00CA201E">
      <w:pPr>
        <w:spacing w:after="120" w:line="240" w:lineRule="auto"/>
      </w:pP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8.1.3  Environmental interactions</w:t>
      </w:r>
    </w:p>
    <w:p w:rsidR="003926B2" w:rsidRPr="00CA201E" w:rsidRDefault="003926B2" w:rsidP="00CA201E">
      <w:pPr>
        <w:spacing w:after="120" w:line="240" w:lineRule="auto"/>
        <w:rPr>
          <w:rFonts w:ascii="Arial" w:hAnsi="Arial" w:cs="Arial"/>
          <w:b/>
          <w:sz w:val="20"/>
          <w:szCs w:val="20"/>
        </w:rPr>
      </w:pPr>
      <w:r w:rsidRPr="00CA201E">
        <w:rPr>
          <w:rFonts w:ascii="Arial" w:hAnsi="Arial" w:cs="Arial"/>
          <w:b/>
          <w:sz w:val="20"/>
          <w:szCs w:val="20"/>
        </w:rPr>
        <w:t xml:space="preserve">8.1.3.1  Impact of vertical </w:t>
      </w:r>
      <w:r w:rsidR="00ED022E">
        <w:rPr>
          <w:rFonts w:ascii="Arial" w:eastAsiaTheme="minorEastAsia" w:hAnsi="Arial" w:cs="Arial" w:hint="eastAsia"/>
          <w:b/>
          <w:sz w:val="20"/>
          <w:szCs w:val="20"/>
          <w:lang w:eastAsia="zh-CN"/>
        </w:rPr>
        <w:t xml:space="preserve">wind </w:t>
      </w:r>
      <w:r w:rsidRPr="00CA201E">
        <w:rPr>
          <w:rFonts w:ascii="Arial" w:hAnsi="Arial" w:cs="Arial"/>
          <w:b/>
          <w:sz w:val="20"/>
          <w:szCs w:val="20"/>
        </w:rPr>
        <w:t>shear on TC rainfall</w:t>
      </w:r>
    </w:p>
    <w:p w:rsidR="003926B2" w:rsidRPr="00CA201E" w:rsidRDefault="003926B2" w:rsidP="00CA201E">
      <w:pPr>
        <w:spacing w:after="120" w:line="240" w:lineRule="auto"/>
        <w:ind w:firstLine="720"/>
        <w:rPr>
          <w:rFonts w:ascii="Arial" w:hAnsi="Arial" w:cs="Arial"/>
          <w:sz w:val="20"/>
          <w:szCs w:val="20"/>
        </w:rPr>
      </w:pPr>
      <w:r w:rsidRPr="00CA201E">
        <w:rPr>
          <w:rFonts w:ascii="Arial" w:hAnsi="Arial" w:cs="Arial"/>
          <w:sz w:val="20"/>
          <w:szCs w:val="20"/>
        </w:rPr>
        <w:t>While TC rainfall has a large axisymmetric component, previous observational (Lonfat et al. 2007; Chen et al. 2006; Cecil 2007; Ueno 2007) and theoretical (Jones 1995; DeMaria 1996; Frank and Ritchie 1999, 2001; Rogers et al. 2003; Ueno 2008) studies have shown that environmental vertical wind shear leads to an asymmetric component of the vertical motion and precipitation fields. Composites consistently depict a precipitation enhancement downshear and also cyclonically downwind from the downshear direction. For consistency with the literature based on Northern Hemisphere observations, this is subsequently referred to as “Downshear-Left”. Larger amplitude precipitation asymmetries are associated with stronger shear magnitudes. Recent research has</w:t>
      </w:r>
      <w:r w:rsidR="00074A9A">
        <w:rPr>
          <w:rFonts w:ascii="Arial" w:eastAsiaTheme="minorEastAsia" w:hAnsi="Arial" w:cs="Arial" w:hint="eastAsia"/>
          <w:sz w:val="20"/>
          <w:szCs w:val="20"/>
          <w:lang w:eastAsia="zh-CN"/>
        </w:rPr>
        <w:t xml:space="preserve"> mainly</w:t>
      </w:r>
      <w:r w:rsidRPr="00CA201E">
        <w:rPr>
          <w:rFonts w:ascii="Arial" w:hAnsi="Arial" w:cs="Arial"/>
          <w:sz w:val="20"/>
          <w:szCs w:val="20"/>
        </w:rPr>
        <w:t xml:space="preserve"> focused on TCs away from land to limit the influence of other processes that might distort the signal related to vertical wind shear</w:t>
      </w:r>
      <w:r w:rsidR="00ED022E">
        <w:rPr>
          <w:rFonts w:ascii="Arial" w:eastAsiaTheme="minorEastAsia" w:hAnsi="Arial" w:cs="Arial" w:hint="eastAsia"/>
          <w:sz w:val="20"/>
          <w:szCs w:val="20"/>
          <w:lang w:eastAsia="zh-CN"/>
        </w:rPr>
        <w:t>, but there are also studies</w:t>
      </w:r>
      <w:r w:rsidRPr="00CA201E">
        <w:rPr>
          <w:rFonts w:ascii="Arial" w:hAnsi="Arial" w:cs="Arial"/>
          <w:sz w:val="20"/>
          <w:szCs w:val="20"/>
        </w:rPr>
        <w:t xml:space="preserve"> </w:t>
      </w:r>
      <w:r w:rsidR="007D62AF">
        <w:rPr>
          <w:rFonts w:ascii="Arial" w:hAnsi="Arial" w:cs="Arial"/>
          <w:sz w:val="20"/>
          <w:szCs w:val="20"/>
        </w:rPr>
        <w:t xml:space="preserve">that </w:t>
      </w:r>
      <w:r w:rsidRPr="00CA201E">
        <w:rPr>
          <w:rFonts w:ascii="Arial" w:hAnsi="Arial" w:cs="Arial"/>
          <w:sz w:val="20"/>
          <w:szCs w:val="20"/>
        </w:rPr>
        <w:t>suggest vertical wind shear can also play a major role in precipitation asymmetries during and after landfall</w:t>
      </w:r>
      <w:r w:rsidR="00ED022E">
        <w:rPr>
          <w:rFonts w:ascii="Arial" w:eastAsiaTheme="minorEastAsia" w:hAnsi="Arial" w:cs="Arial" w:hint="eastAsia"/>
          <w:sz w:val="20"/>
          <w:szCs w:val="20"/>
          <w:lang w:eastAsia="zh-CN"/>
        </w:rPr>
        <w:t xml:space="preserve"> (Wu et al. 2013; Yu et al. 2014; Xu et al. 2014)</w:t>
      </w:r>
      <w:r w:rsidRPr="00CA201E">
        <w:rPr>
          <w:rFonts w:ascii="Arial" w:hAnsi="Arial" w:cs="Arial"/>
          <w:sz w:val="20"/>
          <w:szCs w:val="20"/>
        </w:rPr>
        <w:t>.</w:t>
      </w:r>
    </w:p>
    <w:p w:rsidR="003926B2" w:rsidRPr="00CA201E" w:rsidRDefault="003926B2" w:rsidP="00CA201E">
      <w:pPr>
        <w:spacing w:after="120" w:line="240" w:lineRule="auto"/>
        <w:ind w:firstLine="720"/>
        <w:rPr>
          <w:rFonts w:ascii="Arial" w:hAnsi="Arial" w:cs="Arial"/>
          <w:sz w:val="20"/>
          <w:szCs w:val="20"/>
        </w:rPr>
      </w:pPr>
      <w:r w:rsidRPr="00CA201E">
        <w:rPr>
          <w:rFonts w:ascii="Arial" w:hAnsi="Arial" w:cs="Arial"/>
          <w:sz w:val="20"/>
          <w:szCs w:val="20"/>
        </w:rPr>
        <w:lastRenderedPageBreak/>
        <w:t>Observational studies have generally used the 200-850 hPa wind vector difference averaged over several hundred kilometers to characterize the vertical wind shear. Wingo and Cecil (2010) showed that shear-relative rainfall composites from ~20,000 passive microwave satellite snapshots  of &gt;1000 tropical cyclones are generally similar (favoring the Downshear-Left region) whether considering deep-level (200-850 hPa), mid-level (500-850 hPa), or low-level (700-925 hPa) shear. They noted that these shear directions are usually similar, and that the deep-level shear seems most important when considering the small subset of cases in which these shear vectors are out of phase. Wingo and Cecil (2010) also found a greater amplitude asymmetry in the rainfall composites for westerly shear than for easterly shear, but the Downshear-Left direction was favored regardless of shear direction. Similarly, the Downshear-Left direction is favored regardless of the storm motion direction, but the amplitude of the asymmetry varies. Wingo and Cecil (2010) considered cases with at least 5 m s</w:t>
      </w:r>
      <w:r w:rsidRPr="00CA201E">
        <w:rPr>
          <w:rFonts w:ascii="Arial" w:hAnsi="Arial" w:cs="Arial"/>
          <w:sz w:val="20"/>
          <w:szCs w:val="20"/>
          <w:vertAlign w:val="superscript"/>
        </w:rPr>
        <w:t>-1</w:t>
      </w:r>
      <w:r w:rsidRPr="00CA201E">
        <w:rPr>
          <w:rFonts w:ascii="Arial" w:hAnsi="Arial" w:cs="Arial"/>
          <w:sz w:val="20"/>
          <w:szCs w:val="20"/>
        </w:rPr>
        <w:t xml:space="preserve"> for both the shear magnitude and the storm motion. The asymmetry was largest for cases with shear to the right of the storm motion vector, such that the Downshear-Left and Front-Right quadrants coincide. Shear oriented toward the left of storm motion has the smallest asymmetry, and major hurricanes in the sample. The magnitude of the shear-induced precipitation asymmetry decreases with increasing tropical cyclone intensity, possibly due to azimuthal advection of hydrometeors by the stronger winds.  The shear-induced composited rainfall asymmetry is primarily a result of asymmetries in the heavy rain locations – rainfall occurrence (i.e., areal coverage at a given time) does not vary by quadrant as much as the rain rate magnitude does. </w:t>
      </w:r>
    </w:p>
    <w:p w:rsidR="003926B2" w:rsidRPr="00CA201E" w:rsidRDefault="003926B2" w:rsidP="00826D23">
      <w:pPr>
        <w:spacing w:after="120" w:line="240" w:lineRule="auto"/>
        <w:ind w:firstLine="720"/>
        <w:rPr>
          <w:rFonts w:ascii="Arial" w:hAnsi="Arial" w:cs="Arial"/>
          <w:sz w:val="20"/>
          <w:szCs w:val="20"/>
        </w:rPr>
      </w:pPr>
      <w:r w:rsidRPr="00CA201E">
        <w:rPr>
          <w:rFonts w:ascii="Arial" w:hAnsi="Arial" w:cs="Arial"/>
          <w:sz w:val="20"/>
          <w:szCs w:val="20"/>
        </w:rPr>
        <w:t xml:space="preserve">Yu et al. (2014) examined precipitation asymmetries in tropical cyclones making landfall in </w:t>
      </w:r>
      <w:r w:rsidR="00C36135">
        <w:rPr>
          <w:rFonts w:ascii="Arial" w:eastAsiaTheme="minorEastAsia" w:hAnsi="Arial" w:cs="Arial" w:hint="eastAsia"/>
          <w:sz w:val="20"/>
          <w:szCs w:val="20"/>
          <w:lang w:eastAsia="zh-CN"/>
        </w:rPr>
        <w:t xml:space="preserve">mainland </w:t>
      </w:r>
      <w:r w:rsidRPr="00CA201E">
        <w:rPr>
          <w:rFonts w:ascii="Arial" w:hAnsi="Arial" w:cs="Arial"/>
          <w:sz w:val="20"/>
          <w:szCs w:val="20"/>
        </w:rPr>
        <w:t>China and Taiwan</w:t>
      </w:r>
      <w:r w:rsidR="00C36135">
        <w:rPr>
          <w:rFonts w:ascii="Arial" w:eastAsiaTheme="minorEastAsia" w:hAnsi="Arial" w:cs="Arial" w:hint="eastAsia"/>
          <w:sz w:val="20"/>
          <w:szCs w:val="20"/>
          <w:lang w:eastAsia="zh-CN"/>
        </w:rPr>
        <w:t xml:space="preserve"> </w:t>
      </w:r>
      <w:r w:rsidR="007D62AF">
        <w:rPr>
          <w:rFonts w:ascii="Arial" w:eastAsiaTheme="minorEastAsia" w:hAnsi="Arial" w:cs="Arial"/>
          <w:sz w:val="20"/>
          <w:szCs w:val="20"/>
          <w:lang w:eastAsia="zh-CN"/>
        </w:rPr>
        <w:t>I</w:t>
      </w:r>
      <w:r w:rsidR="00C36135">
        <w:rPr>
          <w:rFonts w:ascii="Arial" w:eastAsiaTheme="minorEastAsia" w:hAnsi="Arial" w:cs="Arial" w:hint="eastAsia"/>
          <w:sz w:val="20"/>
          <w:szCs w:val="20"/>
          <w:lang w:eastAsia="zh-CN"/>
        </w:rPr>
        <w:t>sland</w:t>
      </w:r>
      <w:r w:rsidRPr="00CA201E">
        <w:rPr>
          <w:rFonts w:ascii="Arial" w:hAnsi="Arial" w:cs="Arial"/>
          <w:sz w:val="20"/>
          <w:szCs w:val="20"/>
        </w:rPr>
        <w:t xml:space="preserve">. They found that the Downshear and Downshear-Left precipitation enhancement dominates before, during, and after landfall in all regions (Fig. 12). Landfalls in the southern China provinces and Taiwan tend to have east-northeasterly shear, and composited precipitation asymmetries favor the southwest and southern parts of the storms. Landfalls in the northern China provinces such as Zhejiang more often have a westerly component of shear due to the mid-latitude westerlies, and precipitation is enhanced in the eastern (downshear) quadrants. </w:t>
      </w:r>
      <w:r w:rsidR="00B61689">
        <w:rPr>
          <w:rFonts w:ascii="Arial" w:eastAsiaTheme="minorEastAsia" w:hAnsi="Arial" w:cs="Arial" w:hint="eastAsia"/>
          <w:sz w:val="20"/>
          <w:szCs w:val="20"/>
          <w:lang w:eastAsia="zh-CN"/>
        </w:rPr>
        <w:t xml:space="preserve">Wu et al. (2013) </w:t>
      </w:r>
      <w:r w:rsidR="00EC6039">
        <w:rPr>
          <w:rFonts w:ascii="Arial" w:eastAsiaTheme="minorEastAsia" w:hAnsi="Arial" w:cs="Arial" w:hint="eastAsia"/>
          <w:sz w:val="20"/>
          <w:szCs w:val="20"/>
          <w:lang w:eastAsia="zh-CN"/>
        </w:rPr>
        <w:t>investigated</w:t>
      </w:r>
      <w:r w:rsidR="00B61689" w:rsidRPr="00B61689">
        <w:rPr>
          <w:rFonts w:ascii="Arial" w:hAnsi="Arial" w:cs="Arial"/>
          <w:sz w:val="20"/>
          <w:szCs w:val="20"/>
        </w:rPr>
        <w:t xml:space="preserve"> the asymmetric distribution of precipitation in </w:t>
      </w:r>
      <w:r w:rsidR="00826D23">
        <w:rPr>
          <w:rFonts w:ascii="Arial" w:eastAsiaTheme="minorEastAsia" w:hAnsi="Arial" w:cs="Arial" w:hint="eastAsia"/>
          <w:sz w:val="20"/>
          <w:szCs w:val="20"/>
          <w:lang w:eastAsia="zh-CN"/>
        </w:rPr>
        <w:t xml:space="preserve">six </w:t>
      </w:r>
      <w:r w:rsidR="00B61689" w:rsidRPr="00B61689">
        <w:rPr>
          <w:rFonts w:ascii="Arial" w:hAnsi="Arial" w:cs="Arial"/>
          <w:sz w:val="20"/>
          <w:szCs w:val="20"/>
        </w:rPr>
        <w:t>TCs</w:t>
      </w:r>
      <w:r w:rsidR="00EC6039">
        <w:rPr>
          <w:rFonts w:ascii="Arial" w:eastAsiaTheme="minorEastAsia" w:hAnsi="Arial" w:cs="Arial" w:hint="eastAsia"/>
          <w:sz w:val="20"/>
          <w:szCs w:val="20"/>
          <w:lang w:eastAsia="zh-CN"/>
        </w:rPr>
        <w:t xml:space="preserve"> </w:t>
      </w:r>
      <w:r w:rsidR="00B61689" w:rsidRPr="00B61689">
        <w:rPr>
          <w:rFonts w:ascii="Arial" w:hAnsi="Arial" w:cs="Arial"/>
          <w:sz w:val="20"/>
          <w:szCs w:val="20"/>
        </w:rPr>
        <w:t xml:space="preserve">making landfall along </w:t>
      </w:r>
      <w:r w:rsidR="007D62AF">
        <w:rPr>
          <w:rFonts w:ascii="Arial" w:hAnsi="Arial" w:cs="Arial"/>
          <w:sz w:val="20"/>
          <w:szCs w:val="20"/>
        </w:rPr>
        <w:t xml:space="preserve">the </w:t>
      </w:r>
      <w:r w:rsidR="00B61689" w:rsidRPr="00B61689">
        <w:rPr>
          <w:rFonts w:ascii="Arial" w:hAnsi="Arial" w:cs="Arial"/>
          <w:sz w:val="20"/>
          <w:szCs w:val="20"/>
        </w:rPr>
        <w:t>east China coast using reflectivity data collected from coastal Doppler radars.</w:t>
      </w:r>
      <w:r w:rsidR="00826D23">
        <w:rPr>
          <w:rFonts w:ascii="Arial" w:eastAsiaTheme="minorEastAsia" w:hAnsi="Arial" w:cs="Arial" w:hint="eastAsia"/>
          <w:sz w:val="20"/>
          <w:szCs w:val="20"/>
          <w:lang w:eastAsia="zh-CN"/>
        </w:rPr>
        <w:t xml:space="preserve"> It is found that a</w:t>
      </w:r>
      <w:r w:rsidR="00B61689" w:rsidRPr="00B61689">
        <w:rPr>
          <w:rFonts w:ascii="Arial" w:hAnsi="Arial" w:cs="Arial"/>
          <w:sz w:val="20"/>
          <w:szCs w:val="20"/>
        </w:rPr>
        <w:t>ll six TCs possessed distinct asymmetric precipitation patterns between the inner- and outer-core regions.</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In the inner-core region, the heavy rainfall with reflectivity factor above</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 xml:space="preserve">40 dBZ tends to locate at the downshear side before landfall. Four </w:t>
      </w:r>
      <w:r w:rsidR="004804AA">
        <w:rPr>
          <w:rFonts w:ascii="Arial" w:eastAsiaTheme="minorEastAsia" w:hAnsi="Arial" w:cs="Arial" w:hint="eastAsia"/>
          <w:sz w:val="20"/>
          <w:szCs w:val="20"/>
          <w:lang w:eastAsia="zh-CN"/>
        </w:rPr>
        <w:t xml:space="preserve">of the six </w:t>
      </w:r>
      <w:r w:rsidR="00B61689" w:rsidRPr="00B61689">
        <w:rPr>
          <w:rFonts w:ascii="Arial" w:hAnsi="Arial" w:cs="Arial"/>
          <w:sz w:val="20"/>
          <w:szCs w:val="20"/>
        </w:rPr>
        <w:t>cases have precipitation maxima on the</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downshear</w:t>
      </w:r>
      <w:r w:rsidR="00826D23">
        <w:rPr>
          <w:rFonts w:ascii="Arial" w:eastAsiaTheme="minorEastAsia" w:hAnsi="Arial" w:cs="Arial" w:hint="eastAsia"/>
          <w:sz w:val="20"/>
          <w:szCs w:val="20"/>
          <w:lang w:eastAsia="zh-CN"/>
        </w:rPr>
        <w:t>-</w:t>
      </w:r>
      <w:r w:rsidR="00B61689" w:rsidRPr="00B61689">
        <w:rPr>
          <w:rFonts w:ascii="Arial" w:hAnsi="Arial" w:cs="Arial"/>
          <w:sz w:val="20"/>
          <w:szCs w:val="20"/>
        </w:rPr>
        <w:t>left side. As TCs approach land (~ 2 hr before landfall), their</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 xml:space="preserve">precipitation maxima generally shift to the front quadrant of the motion </w:t>
      </w:r>
      <w:r w:rsidR="004804AA">
        <w:rPr>
          <w:rFonts w:ascii="Arial" w:eastAsiaTheme="minorEastAsia" w:hAnsi="Arial" w:cs="Arial" w:hint="eastAsia"/>
          <w:sz w:val="20"/>
          <w:szCs w:val="20"/>
          <w:lang w:eastAsia="zh-CN"/>
        </w:rPr>
        <w:t xml:space="preserve">which may be </w:t>
      </w:r>
      <w:r w:rsidR="00B61689" w:rsidRPr="00B61689">
        <w:rPr>
          <w:rFonts w:ascii="Arial" w:hAnsi="Arial" w:cs="Arial"/>
          <w:sz w:val="20"/>
          <w:szCs w:val="20"/>
        </w:rPr>
        <w:t>partly due to the interaction of TC with</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the land surface. In the outer-core region, the precipitation maxima occur in the front quadrant of the motion in</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five of the six cases before landfall. After landfall, the precipitation maxima shift from the right-front quadrant</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clockwise to the right-rear quadrant of the motion collocated well with the mountainous areas along the coast,</w:t>
      </w:r>
      <w:r w:rsidR="00826D23">
        <w:rPr>
          <w:rFonts w:ascii="Arial" w:eastAsiaTheme="minorEastAsia" w:hAnsi="Arial" w:cs="Arial" w:hint="eastAsia"/>
          <w:sz w:val="20"/>
          <w:szCs w:val="20"/>
          <w:lang w:eastAsia="zh-CN"/>
        </w:rPr>
        <w:t xml:space="preserve"> </w:t>
      </w:r>
      <w:r w:rsidR="00B61689" w:rsidRPr="00B61689">
        <w:rPr>
          <w:rFonts w:ascii="Arial" w:hAnsi="Arial" w:cs="Arial"/>
          <w:sz w:val="20"/>
          <w:szCs w:val="20"/>
        </w:rPr>
        <w:t>which indicates the impact of topography forcing on the precipitation distribution.</w:t>
      </w:r>
      <w:r w:rsidR="00AE7246">
        <w:rPr>
          <w:rFonts w:ascii="Arial" w:hAnsi="Arial" w:cs="Arial"/>
          <w:sz w:val="20"/>
          <w:szCs w:val="20"/>
        </w:rPr>
        <w:t xml:space="preserve"> </w:t>
      </w:r>
      <w:r w:rsidR="00AE7246" w:rsidRPr="00AE7246">
        <w:rPr>
          <w:rFonts w:ascii="Arial" w:hAnsi="Arial" w:cs="Arial"/>
          <w:sz w:val="20"/>
          <w:szCs w:val="20"/>
        </w:rPr>
        <w:t xml:space="preserve">Xu et al. (2014) examined rainfall asymmetries of tropical cyclones prior to, during, and after making landfall </w:t>
      </w:r>
      <w:r w:rsidR="00AE7246">
        <w:rPr>
          <w:rFonts w:ascii="Arial" w:hAnsi="Arial" w:cs="Arial"/>
          <w:sz w:val="20"/>
          <w:szCs w:val="20"/>
        </w:rPr>
        <w:t>in South China and the southeastern</w:t>
      </w:r>
      <w:r w:rsidR="00AE7246" w:rsidRPr="00AE7246">
        <w:rPr>
          <w:rFonts w:ascii="Arial" w:hAnsi="Arial" w:cs="Arial"/>
          <w:sz w:val="20"/>
          <w:szCs w:val="20"/>
        </w:rPr>
        <w:t xml:space="preserve"> United States from 1998 to 2011 based on TRMM rainfall products. They found that effects of the deep vertical wind shear dominate the rainfall asymmetries </w:t>
      </w:r>
      <w:r w:rsidR="0090687F">
        <w:rPr>
          <w:rFonts w:ascii="Arial" w:hAnsi="Arial" w:cs="Arial"/>
          <w:sz w:val="20"/>
          <w:szCs w:val="20"/>
        </w:rPr>
        <w:t>and produced maxima i</w:t>
      </w:r>
      <w:r w:rsidR="00AE7246" w:rsidRPr="00AE7246">
        <w:rPr>
          <w:rFonts w:ascii="Arial" w:hAnsi="Arial" w:cs="Arial"/>
          <w:sz w:val="20"/>
          <w:szCs w:val="20"/>
        </w:rPr>
        <w:t>n the</w:t>
      </w:r>
      <w:r w:rsidR="00AE7246">
        <w:rPr>
          <w:rFonts w:ascii="Arial" w:hAnsi="Arial" w:cs="Arial"/>
          <w:sz w:val="20"/>
          <w:szCs w:val="20"/>
        </w:rPr>
        <w:t xml:space="preserve"> </w:t>
      </w:r>
      <w:r w:rsidR="00AE7246" w:rsidRPr="00AE7246">
        <w:rPr>
          <w:rFonts w:ascii="Arial" w:hAnsi="Arial" w:cs="Arial"/>
          <w:sz w:val="20"/>
          <w:szCs w:val="20"/>
        </w:rPr>
        <w:t xml:space="preserve">downshear </w:t>
      </w:r>
      <w:r w:rsidR="0090687F">
        <w:rPr>
          <w:rFonts w:ascii="Arial" w:hAnsi="Arial" w:cs="Arial"/>
          <w:sz w:val="20"/>
          <w:szCs w:val="20"/>
        </w:rPr>
        <w:t xml:space="preserve">section of the storms </w:t>
      </w:r>
      <w:r w:rsidR="00AE7246" w:rsidRPr="00AE7246">
        <w:rPr>
          <w:rFonts w:ascii="Arial" w:hAnsi="Arial" w:cs="Arial"/>
          <w:sz w:val="20"/>
          <w:szCs w:val="20"/>
        </w:rPr>
        <w:t xml:space="preserve">and </w:t>
      </w:r>
      <w:r w:rsidR="0090687F">
        <w:rPr>
          <w:rFonts w:ascii="Arial" w:hAnsi="Arial" w:cs="Arial"/>
          <w:sz w:val="20"/>
          <w:szCs w:val="20"/>
        </w:rPr>
        <w:t xml:space="preserve">the downshear-left </w:t>
      </w:r>
      <w:r w:rsidR="00912355">
        <w:rPr>
          <w:rFonts w:ascii="Arial" w:hAnsi="Arial" w:cs="Arial"/>
          <w:sz w:val="20"/>
          <w:szCs w:val="20"/>
        </w:rPr>
        <w:t>quadrant</w:t>
      </w:r>
      <w:r w:rsidR="0090687F">
        <w:rPr>
          <w:rFonts w:ascii="Arial" w:hAnsi="Arial" w:cs="Arial"/>
          <w:sz w:val="20"/>
          <w:szCs w:val="20"/>
        </w:rPr>
        <w:t xml:space="preserve"> in particular</w:t>
      </w:r>
      <w:r w:rsidR="00AE7246" w:rsidRPr="00AE7246">
        <w:rPr>
          <w:rFonts w:ascii="Arial" w:hAnsi="Arial" w:cs="Arial"/>
          <w:sz w:val="20"/>
          <w:szCs w:val="20"/>
        </w:rPr>
        <w:t xml:space="preserve">. This wind shear effect is still dominant even </w:t>
      </w:r>
      <w:r w:rsidR="0090687F">
        <w:rPr>
          <w:rFonts w:ascii="Arial" w:hAnsi="Arial" w:cs="Arial"/>
          <w:sz w:val="20"/>
          <w:szCs w:val="20"/>
        </w:rPr>
        <w:t xml:space="preserve">for TCs during landfall, </w:t>
      </w:r>
      <w:r w:rsidR="00AE7246" w:rsidRPr="00AE7246">
        <w:rPr>
          <w:rFonts w:ascii="Arial" w:hAnsi="Arial" w:cs="Arial"/>
          <w:sz w:val="20"/>
          <w:szCs w:val="20"/>
        </w:rPr>
        <w:t xml:space="preserve">after landfall, </w:t>
      </w:r>
      <w:r w:rsidR="00E93B46">
        <w:rPr>
          <w:rFonts w:ascii="Arial" w:hAnsi="Arial" w:cs="Arial"/>
          <w:sz w:val="20"/>
          <w:szCs w:val="20"/>
        </w:rPr>
        <w:t>and</w:t>
      </w:r>
      <w:r w:rsidR="00AE7246" w:rsidRPr="00AE7246">
        <w:rPr>
          <w:rFonts w:ascii="Arial" w:hAnsi="Arial" w:cs="Arial"/>
          <w:sz w:val="20"/>
          <w:szCs w:val="20"/>
        </w:rPr>
        <w:t xml:space="preserve"> </w:t>
      </w:r>
      <w:r w:rsidR="0090687F">
        <w:rPr>
          <w:rFonts w:ascii="Arial" w:hAnsi="Arial" w:cs="Arial"/>
          <w:sz w:val="20"/>
          <w:szCs w:val="20"/>
        </w:rPr>
        <w:t xml:space="preserve">for those that are </w:t>
      </w:r>
      <w:r w:rsidR="00AE7246" w:rsidRPr="00AE7246">
        <w:rPr>
          <w:rFonts w:ascii="Arial" w:hAnsi="Arial" w:cs="Arial"/>
          <w:sz w:val="20"/>
          <w:szCs w:val="20"/>
        </w:rPr>
        <w:t>interacting with mountains.</w:t>
      </w:r>
    </w:p>
    <w:p w:rsidR="003926B2" w:rsidRDefault="003926B2" w:rsidP="003926B2">
      <w:pPr>
        <w:spacing w:line="360" w:lineRule="auto"/>
      </w:pPr>
      <w:r w:rsidRPr="00B16E00">
        <w:rPr>
          <w:noProof/>
        </w:rPr>
        <w:lastRenderedPageBreak/>
        <w:drawing>
          <wp:inline distT="0" distB="0" distL="0" distR="0" wp14:anchorId="48B31C75" wp14:editId="1A578820">
            <wp:extent cx="4203865" cy="5232783"/>
            <wp:effectExtent l="0" t="0" r="6350" b="635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stretch>
                      <a:fillRect/>
                    </a:stretch>
                  </pic:blipFill>
                  <pic:spPr>
                    <a:xfrm>
                      <a:off x="0" y="0"/>
                      <a:ext cx="4204479" cy="5233547"/>
                    </a:xfrm>
                    <a:prstGeom prst="rect">
                      <a:avLst/>
                    </a:prstGeom>
                  </pic:spPr>
                </pic:pic>
              </a:graphicData>
            </a:graphic>
          </wp:inline>
        </w:drawing>
      </w:r>
    </w:p>
    <w:p w:rsidR="003926B2" w:rsidRPr="00390E9D" w:rsidRDefault="003926B2" w:rsidP="00CA201E">
      <w:pPr>
        <w:spacing w:after="120" w:line="240" w:lineRule="auto"/>
        <w:jc w:val="both"/>
        <w:rPr>
          <w:rFonts w:ascii="Arial" w:eastAsiaTheme="minorEastAsia" w:hAnsi="Arial" w:cs="Arial"/>
          <w:sz w:val="20"/>
          <w:szCs w:val="20"/>
          <w:lang w:eastAsia="zh-CN"/>
        </w:rPr>
      </w:pPr>
      <w:r w:rsidRPr="0065594E">
        <w:rPr>
          <w:rFonts w:ascii="Arial" w:hAnsi="Arial" w:cs="Arial"/>
          <w:b/>
          <w:sz w:val="20"/>
          <w:szCs w:val="20"/>
        </w:rPr>
        <w:t>Figure 12</w:t>
      </w:r>
      <w:r w:rsidRPr="0065594E">
        <w:rPr>
          <w:rFonts w:ascii="Arial" w:hAnsi="Arial" w:cs="Arial"/>
          <w:sz w:val="20"/>
          <w:szCs w:val="20"/>
        </w:rPr>
        <w:t xml:space="preserve">. Shear-relative rainfall asymmetry before (left), during (middle), and after (right) landfall for regions of </w:t>
      </w:r>
      <w:r w:rsidR="00747514">
        <w:rPr>
          <w:rFonts w:ascii="Arial" w:eastAsiaTheme="minorEastAsia" w:hAnsi="Arial" w:cs="Arial" w:hint="eastAsia"/>
          <w:sz w:val="20"/>
          <w:szCs w:val="20"/>
          <w:lang w:eastAsia="zh-CN"/>
        </w:rPr>
        <w:t xml:space="preserve">mainland </w:t>
      </w:r>
      <w:r w:rsidRPr="0065594E">
        <w:rPr>
          <w:rFonts w:ascii="Arial" w:hAnsi="Arial" w:cs="Arial"/>
          <w:sz w:val="20"/>
          <w:szCs w:val="20"/>
        </w:rPr>
        <w:t>China and Taiwan</w:t>
      </w:r>
      <w:r w:rsidR="00747514">
        <w:rPr>
          <w:rFonts w:ascii="Arial" w:eastAsiaTheme="minorEastAsia" w:hAnsi="Arial" w:cs="Arial" w:hint="eastAsia"/>
          <w:sz w:val="20"/>
          <w:szCs w:val="20"/>
          <w:lang w:eastAsia="zh-CN"/>
        </w:rPr>
        <w:t xml:space="preserve"> </w:t>
      </w:r>
      <w:r w:rsidR="001967A7">
        <w:rPr>
          <w:rFonts w:ascii="Arial" w:eastAsiaTheme="minorEastAsia" w:hAnsi="Arial" w:cs="Arial"/>
          <w:sz w:val="20"/>
          <w:szCs w:val="20"/>
          <w:lang w:eastAsia="zh-CN"/>
        </w:rPr>
        <w:t>I</w:t>
      </w:r>
      <w:r w:rsidR="00747514">
        <w:rPr>
          <w:rFonts w:ascii="Arial" w:eastAsiaTheme="minorEastAsia" w:hAnsi="Arial" w:cs="Arial" w:hint="eastAsia"/>
          <w:sz w:val="20"/>
          <w:szCs w:val="20"/>
          <w:lang w:eastAsia="zh-CN"/>
        </w:rPr>
        <w:t>sland</w:t>
      </w:r>
      <w:r w:rsidRPr="0065594E">
        <w:rPr>
          <w:rFonts w:ascii="Arial" w:hAnsi="Arial" w:cs="Arial"/>
          <w:sz w:val="20"/>
          <w:szCs w:val="20"/>
        </w:rPr>
        <w:t>. Regions progress from south at the top to north at the bottom of the figure. Rainfall is maximized Downshear-Left in almost all composites.</w:t>
      </w:r>
      <w:r w:rsidR="00747514" w:rsidRPr="00747514">
        <w:rPr>
          <w:rFonts w:ascii="Arial" w:hAnsi="Arial" w:cs="Arial"/>
          <w:sz w:val="20"/>
          <w:szCs w:val="20"/>
        </w:rPr>
        <w:t xml:space="preserve"> </w:t>
      </w:r>
      <w:r w:rsidR="00747514">
        <w:rPr>
          <w:rFonts w:ascii="Arial" w:eastAsiaTheme="minorEastAsia" w:hAnsi="Arial" w:cs="Arial" w:hint="eastAsia"/>
          <w:sz w:val="20"/>
          <w:szCs w:val="20"/>
          <w:lang w:eastAsia="zh-CN"/>
        </w:rPr>
        <w:t>(</w:t>
      </w:r>
      <w:r w:rsidR="00747514" w:rsidRPr="0065594E">
        <w:rPr>
          <w:rFonts w:ascii="Arial" w:hAnsi="Arial" w:cs="Arial"/>
          <w:sz w:val="20"/>
          <w:szCs w:val="20"/>
        </w:rPr>
        <w:t>Yu et al. 2014)</w:t>
      </w:r>
    </w:p>
    <w:p w:rsidR="003926B2" w:rsidRPr="00CA201E" w:rsidRDefault="003926B2" w:rsidP="004B6A1E">
      <w:pPr>
        <w:spacing w:after="120" w:line="240" w:lineRule="auto"/>
        <w:ind w:firstLine="720"/>
        <w:rPr>
          <w:rFonts w:ascii="Arial" w:hAnsi="Arial" w:cs="Arial"/>
          <w:sz w:val="20"/>
          <w:szCs w:val="20"/>
        </w:rPr>
      </w:pPr>
      <w:r w:rsidRPr="00CA201E">
        <w:rPr>
          <w:rFonts w:ascii="Arial" w:hAnsi="Arial" w:cs="Arial"/>
          <w:sz w:val="20"/>
          <w:szCs w:val="20"/>
        </w:rPr>
        <w:t xml:space="preserve">Much of the earlier theoretical research on shear-induced asymmetries has emphasized a tilted vortex in response to the vertical wind shear. Reasor et al. (2013) recently confirmed that the vortex does tilt in a downshear-left direction in observational composites from airborne radar in 75 hurricane flights. Reasor et al.’s composites for the hurricane core region have convective initiation in the downshear-right region, peak ascent just left of the downshear direction, peak low-level reflectivities throughout the downshear-left quadrant, and the deepest radar echoes also in the downshear-left quadrant. Sinking motion is prevalent in the upshear-left quadrant, although advection carries a substantial amount of precipitation into this quadrant.  By contrast, radar echoes are suppressed in the upshear-right quadrant. </w:t>
      </w:r>
    </w:p>
    <w:p w:rsidR="003926B2" w:rsidRPr="00CA201E" w:rsidRDefault="003926B2" w:rsidP="00CA201E">
      <w:pPr>
        <w:spacing w:after="120" w:line="240" w:lineRule="auto"/>
        <w:ind w:firstLine="720"/>
        <w:rPr>
          <w:rFonts w:ascii="Arial" w:hAnsi="Arial" w:cs="Arial"/>
          <w:sz w:val="20"/>
          <w:szCs w:val="20"/>
        </w:rPr>
      </w:pPr>
      <w:r w:rsidRPr="00CA201E">
        <w:rPr>
          <w:rFonts w:ascii="Arial" w:hAnsi="Arial" w:cs="Arial"/>
          <w:sz w:val="20"/>
          <w:szCs w:val="20"/>
        </w:rPr>
        <w:t xml:space="preserve">This description of the radar structure is confirmed by the Hence and Houze (2011) analyses of hurricane eyewalls from the TRMM satellite’s Precipitation Radar. Vertical reflectivity profiles from TRMM suggest convective development in the downshear-right quadrant, with maximum precipitation cyclonically downwind in the downshear-left quadrant. Hence and Houze (2011) noted that this pattern is rotated one quadrant clockwise for cases of large storm motion, and is oriented in nearly the opposite direction. The normally suppressed upshear-right quadrant has new convective development in those </w:t>
      </w:r>
      <w:r w:rsidRPr="00CA201E">
        <w:rPr>
          <w:rFonts w:ascii="Arial" w:hAnsi="Arial" w:cs="Arial"/>
          <w:sz w:val="20"/>
          <w:szCs w:val="20"/>
        </w:rPr>
        <w:lastRenderedPageBreak/>
        <w:t>cases, with precipitation maximized downshear-right. Hence and Houze (2012) note that hurricane outer eyewalls have much less shear-induced asymmetry in the TRMM radar data. Concentric eyewall cases do have the previously described structure for the inner eyewall, but increasing shear only slightly favors the left-of-shear direction for strong convection in the outer eyewall.</w:t>
      </w:r>
    </w:p>
    <w:p w:rsidR="003926B2" w:rsidRDefault="003926B2" w:rsidP="00CA201E">
      <w:pPr>
        <w:spacing w:after="120" w:line="240" w:lineRule="auto"/>
        <w:ind w:firstLine="720"/>
        <w:rPr>
          <w:rFonts w:ascii="Arial" w:hAnsi="Arial" w:cs="Arial"/>
          <w:sz w:val="20"/>
          <w:szCs w:val="20"/>
        </w:rPr>
      </w:pPr>
      <w:r w:rsidRPr="00CA201E">
        <w:rPr>
          <w:rFonts w:ascii="Arial" w:hAnsi="Arial" w:cs="Arial"/>
          <w:sz w:val="20"/>
          <w:szCs w:val="20"/>
        </w:rPr>
        <w:t xml:space="preserve">DeHart et al. (2014) analyzed a subset of the airborne radar cases used by Reasor et al. (2013), with emphasis on the kinematic fields in the hurricane eyewall. Frequency distributions of vertical velocity (Fig. 13) have more updrafts and fewer downdrafts in the downshear-right quadrant, relative to a frequency distribution for the entire eyewall. Cyclonically downwind in the downshear-left quadrant, there is a preference for </w:t>
      </w:r>
      <w:r w:rsidRPr="00CA201E">
        <w:rPr>
          <w:rFonts w:ascii="Arial" w:hAnsi="Arial" w:cs="Arial"/>
          <w:i/>
          <w:sz w:val="20"/>
          <w:szCs w:val="20"/>
        </w:rPr>
        <w:t>stronger</w:t>
      </w:r>
      <w:r w:rsidRPr="00CA201E">
        <w:rPr>
          <w:rFonts w:ascii="Arial" w:hAnsi="Arial" w:cs="Arial"/>
          <w:sz w:val="20"/>
          <w:szCs w:val="20"/>
        </w:rPr>
        <w:t xml:space="preserve"> updrafts, particularly aloft. Downdrafts are favored and updrafts suppressed in the upshear quadrants, other than some weak upper-level updrafts in the upshear-right quadrant. Figure 14 is an application of the same analysis technique to radar reflectivity. The combination of strong updrafts in the downshear-left quadrant and advection of precipitation that was generated in the downshear-right updrafts yields positive reflectivity anomalies in the downshear-left quadrant. The upshear-right is most suppressed, in terms of radar reflectivity. The schematic from DeHart et al. (2014) in Fig. 15 here is consistent with the findings from many of the recent studies of shear-induced asymmetries: updrafts initiate in the downshear-right region and are maximized in the downshear-left. The upshear-left region has more downdrafts, and upshear-right has weaker vertical motion in general. These vertical motions coupled with horizontal advection of hydrometeors puts the largest precipitation in the downshear-left, with the least precipitation in the upshear-right.</w:t>
      </w:r>
    </w:p>
    <w:p w:rsidR="00CA201E" w:rsidRPr="00CA201E" w:rsidRDefault="00CA201E" w:rsidP="00CA201E">
      <w:pPr>
        <w:spacing w:after="120" w:line="240" w:lineRule="auto"/>
        <w:ind w:firstLine="720"/>
        <w:rPr>
          <w:rFonts w:ascii="Arial" w:hAnsi="Arial" w:cs="Arial"/>
          <w:sz w:val="20"/>
          <w:szCs w:val="20"/>
        </w:rPr>
      </w:pPr>
    </w:p>
    <w:p w:rsidR="003926B2" w:rsidRDefault="003926B2" w:rsidP="003926B2">
      <w:pPr>
        <w:jc w:val="center"/>
      </w:pPr>
      <w:r>
        <w:rPr>
          <w:noProof/>
        </w:rPr>
        <w:drawing>
          <wp:inline distT="0" distB="0" distL="0" distR="0" wp14:anchorId="2B0E0260" wp14:editId="537DF30B">
            <wp:extent cx="5014570" cy="365577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art_etal2014F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4570" cy="3655771"/>
                    </a:xfrm>
                    <a:prstGeom prst="rect">
                      <a:avLst/>
                    </a:prstGeom>
                  </pic:spPr>
                </pic:pic>
              </a:graphicData>
            </a:graphic>
          </wp:inline>
        </w:drawing>
      </w:r>
    </w:p>
    <w:p w:rsidR="003926B2" w:rsidRPr="0065594E" w:rsidRDefault="003926B2" w:rsidP="00CA201E">
      <w:pPr>
        <w:spacing w:after="120" w:line="240" w:lineRule="auto"/>
        <w:jc w:val="both"/>
        <w:rPr>
          <w:rFonts w:ascii="Arial" w:hAnsi="Arial" w:cs="Arial"/>
          <w:sz w:val="20"/>
          <w:szCs w:val="20"/>
        </w:rPr>
      </w:pPr>
      <w:r w:rsidRPr="0065594E">
        <w:rPr>
          <w:rFonts w:ascii="Arial" w:hAnsi="Arial" w:cs="Arial"/>
          <w:b/>
          <w:sz w:val="20"/>
          <w:szCs w:val="20"/>
        </w:rPr>
        <w:t>Figure 13</w:t>
      </w:r>
      <w:r w:rsidRPr="0065594E">
        <w:rPr>
          <w:rFonts w:ascii="Arial" w:hAnsi="Arial" w:cs="Arial"/>
          <w:sz w:val="20"/>
          <w:szCs w:val="20"/>
        </w:rPr>
        <w:t>.  Anomaly Contoured Frequency by Altitude Display (CFAD) from DeHart et al. (2014) of eyewall vertical velocity for each shear-relative quadrant, relative to a CFAD for the eyewall in general. Contours represent the frequency anomaly, contoured every 5%, where red contours are positive anomalies and blue contours are negative anom</w:t>
      </w:r>
      <w:r>
        <w:rPr>
          <w:rFonts w:ascii="Arial" w:hAnsi="Arial" w:cs="Arial"/>
          <w:sz w:val="20"/>
          <w:szCs w:val="20"/>
        </w:rPr>
        <w:t>alies.</w:t>
      </w:r>
      <w:r w:rsidRPr="0065594E">
        <w:rPr>
          <w:rFonts w:ascii="Arial" w:hAnsi="Arial" w:cs="Arial"/>
          <w:sz w:val="20"/>
          <w:szCs w:val="20"/>
        </w:rPr>
        <w:t>.</w:t>
      </w:r>
    </w:p>
    <w:p w:rsidR="003926B2" w:rsidRDefault="003926B2" w:rsidP="003926B2"/>
    <w:p w:rsidR="003926B2" w:rsidRDefault="003926B2" w:rsidP="003926B2"/>
    <w:p w:rsidR="003926B2" w:rsidRDefault="003926B2" w:rsidP="003926B2">
      <w:r>
        <w:rPr>
          <w:noProof/>
        </w:rPr>
        <w:lastRenderedPageBreak/>
        <w:drawing>
          <wp:inline distT="0" distB="0" distL="0" distR="0" wp14:anchorId="21E1C27E" wp14:editId="6CEF18EA">
            <wp:extent cx="5014570" cy="3642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art_etal2014F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4570" cy="3642970"/>
                    </a:xfrm>
                    <a:prstGeom prst="rect">
                      <a:avLst/>
                    </a:prstGeom>
                  </pic:spPr>
                </pic:pic>
              </a:graphicData>
            </a:graphic>
          </wp:inline>
        </w:drawing>
      </w:r>
    </w:p>
    <w:p w:rsidR="003926B2" w:rsidRPr="0065594E" w:rsidRDefault="003926B2" w:rsidP="003926B2">
      <w:pPr>
        <w:spacing w:after="0" w:line="240" w:lineRule="auto"/>
        <w:rPr>
          <w:rFonts w:ascii="Arial" w:hAnsi="Arial" w:cs="Arial"/>
          <w:sz w:val="20"/>
          <w:szCs w:val="20"/>
        </w:rPr>
      </w:pPr>
      <w:r w:rsidRPr="0065594E">
        <w:rPr>
          <w:rFonts w:ascii="Arial" w:hAnsi="Arial" w:cs="Arial"/>
          <w:b/>
          <w:sz w:val="20"/>
          <w:szCs w:val="20"/>
        </w:rPr>
        <w:t>Figure 14</w:t>
      </w:r>
      <w:r w:rsidRPr="0065594E">
        <w:rPr>
          <w:rFonts w:ascii="Arial" w:hAnsi="Arial" w:cs="Arial"/>
          <w:sz w:val="20"/>
          <w:szCs w:val="20"/>
        </w:rPr>
        <w:t xml:space="preserve">. As in Figure 13, but for radar reflectivity. </w:t>
      </w:r>
    </w:p>
    <w:p w:rsidR="003926B2" w:rsidRPr="0065594E" w:rsidRDefault="003926B2" w:rsidP="003926B2">
      <w:pPr>
        <w:spacing w:after="0" w:line="240" w:lineRule="auto"/>
        <w:rPr>
          <w:rFonts w:ascii="Arial" w:hAnsi="Arial" w:cs="Arial"/>
          <w:sz w:val="20"/>
          <w:szCs w:val="20"/>
        </w:rPr>
      </w:pPr>
    </w:p>
    <w:p w:rsidR="003926B2" w:rsidRDefault="003926B2" w:rsidP="003926B2"/>
    <w:p w:rsidR="003926B2" w:rsidRDefault="003926B2" w:rsidP="003926B2">
      <w:r>
        <w:rPr>
          <w:noProof/>
        </w:rPr>
        <w:drawing>
          <wp:inline distT="0" distB="0" distL="0" distR="0" wp14:anchorId="2B9BAB3E" wp14:editId="0E052219">
            <wp:extent cx="2794000" cy="1854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art_etal2014F15.jpg"/>
                    <pic:cNvPicPr/>
                  </pic:nvPicPr>
                  <pic:blipFill rotWithShape="1">
                    <a:blip r:embed="rId24" cstate="print">
                      <a:extLst>
                        <a:ext uri="{28A0092B-C50C-407E-A947-70E740481C1C}">
                          <a14:useLocalDpi xmlns:a14="http://schemas.microsoft.com/office/drawing/2010/main" val="0"/>
                        </a:ext>
                      </a:extLst>
                    </a:blip>
                    <a:srcRect b="68420"/>
                    <a:stretch/>
                  </pic:blipFill>
                  <pic:spPr bwMode="auto">
                    <a:xfrm>
                      <a:off x="0" y="0"/>
                      <a:ext cx="2794406" cy="1854469"/>
                    </a:xfrm>
                    <a:prstGeom prst="rect">
                      <a:avLst/>
                    </a:prstGeom>
                    <a:ln>
                      <a:noFill/>
                    </a:ln>
                    <a:extLst>
                      <a:ext uri="{53640926-AAD7-44D8-BBD7-CCE9431645EC}">
                        <a14:shadowObscured xmlns:a14="http://schemas.microsoft.com/office/drawing/2010/main"/>
                      </a:ext>
                    </a:extLst>
                  </pic:spPr>
                </pic:pic>
              </a:graphicData>
            </a:graphic>
          </wp:inline>
        </w:drawing>
      </w:r>
    </w:p>
    <w:p w:rsidR="003926B2" w:rsidRPr="0065594E" w:rsidRDefault="003926B2" w:rsidP="004B6A1E">
      <w:pPr>
        <w:spacing w:after="120" w:line="240" w:lineRule="auto"/>
        <w:jc w:val="both"/>
        <w:rPr>
          <w:rFonts w:ascii="Arial" w:hAnsi="Arial" w:cs="Arial"/>
          <w:sz w:val="20"/>
          <w:szCs w:val="20"/>
        </w:rPr>
      </w:pPr>
      <w:r w:rsidRPr="0065594E">
        <w:rPr>
          <w:rFonts w:ascii="Arial" w:hAnsi="Arial" w:cs="Arial"/>
          <w:b/>
          <w:sz w:val="20"/>
          <w:szCs w:val="20"/>
        </w:rPr>
        <w:t>Figure 15</w:t>
      </w:r>
      <w:r w:rsidRPr="0065594E">
        <w:rPr>
          <w:rFonts w:ascii="Arial" w:hAnsi="Arial" w:cs="Arial"/>
          <w:sz w:val="20"/>
          <w:szCs w:val="20"/>
        </w:rPr>
        <w:t xml:space="preserve">. Schematic of the eyewall vertical motion distribution in each shear-relative quadrant. The environmental shear vector points toward the top of the figure. </w:t>
      </w:r>
    </w:p>
    <w:p w:rsidR="003926B2" w:rsidRPr="00637E95" w:rsidRDefault="003926B2" w:rsidP="00637E95">
      <w:pPr>
        <w:spacing w:after="120" w:line="240" w:lineRule="auto"/>
        <w:rPr>
          <w:rFonts w:ascii="Arial" w:hAnsi="Arial" w:cs="Arial"/>
          <w:b/>
          <w:sz w:val="20"/>
          <w:szCs w:val="20"/>
        </w:rPr>
      </w:pPr>
      <w:r w:rsidRPr="00637E95">
        <w:rPr>
          <w:rFonts w:ascii="Arial" w:hAnsi="Arial" w:cs="Arial"/>
          <w:b/>
          <w:sz w:val="20"/>
          <w:szCs w:val="20"/>
        </w:rPr>
        <w:t xml:space="preserve">8.1.3.2  Remote rainfall </w:t>
      </w:r>
    </w:p>
    <w:p w:rsidR="00893719" w:rsidRPr="00637E95" w:rsidRDefault="00893719" w:rsidP="00893719">
      <w:pPr>
        <w:spacing w:after="120" w:line="240" w:lineRule="auto"/>
        <w:rPr>
          <w:rFonts w:ascii="Arial" w:hAnsi="Arial" w:cs="Arial"/>
          <w:b/>
          <w:sz w:val="20"/>
          <w:szCs w:val="20"/>
        </w:rPr>
      </w:pPr>
      <w:r w:rsidRPr="00637E95">
        <w:rPr>
          <w:rFonts w:ascii="Arial" w:hAnsi="Arial" w:cs="Arial"/>
          <w:b/>
          <w:sz w:val="20"/>
          <w:szCs w:val="20"/>
        </w:rPr>
        <w:t>8.1.3.2</w:t>
      </w:r>
      <w:r>
        <w:rPr>
          <w:rFonts w:ascii="Arial" w:eastAsiaTheme="minorEastAsia" w:hAnsi="Arial" w:cs="Arial" w:hint="eastAsia"/>
          <w:b/>
          <w:sz w:val="20"/>
          <w:szCs w:val="20"/>
          <w:lang w:eastAsia="zh-CN"/>
        </w:rPr>
        <w:t>.0</w:t>
      </w:r>
      <w:r w:rsidRPr="00637E95">
        <w:rPr>
          <w:rFonts w:ascii="Arial" w:hAnsi="Arial" w:cs="Arial"/>
          <w:b/>
          <w:sz w:val="20"/>
          <w:szCs w:val="20"/>
        </w:rPr>
        <w:t xml:space="preserve">  Remote rainfall</w:t>
      </w:r>
      <w:r>
        <w:rPr>
          <w:rFonts w:ascii="Arial" w:eastAsiaTheme="minorEastAsia" w:hAnsi="Arial" w:cs="Arial" w:hint="eastAsia"/>
          <w:b/>
          <w:sz w:val="20"/>
          <w:szCs w:val="20"/>
          <w:lang w:eastAsia="zh-CN"/>
        </w:rPr>
        <w:t>: introduction</w:t>
      </w:r>
      <w:r w:rsidRPr="00637E95">
        <w:rPr>
          <w:rFonts w:ascii="Arial" w:hAnsi="Arial" w:cs="Arial"/>
          <w:b/>
          <w:sz w:val="20"/>
          <w:szCs w:val="20"/>
        </w:rPr>
        <w:t xml:space="preserve"> </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 xml:space="preserve">In addition to the heavy rainfall near a storm center associated with inner-core processes at landfall, there has been increasing attention in recent years placed on understanding mechanisms whereby TCs can either directly or indirectly enhance rainfall at great distances inland ahead of the path of the TC, a phenomenon referred to as remote rainfall.  A number of recent studies have described predecessor rain events (PREs) as a mechanism for remote rainfall in the eastern United States, while </w:t>
      </w:r>
      <w:r w:rsidRPr="00637E95">
        <w:rPr>
          <w:rFonts w:ascii="Arial" w:hAnsi="Arial" w:cs="Arial"/>
          <w:sz w:val="20"/>
          <w:szCs w:val="20"/>
        </w:rPr>
        <w:lastRenderedPageBreak/>
        <w:t xml:space="preserve">tropical cyclone remote precipitation events (TRPs) have been described for storms affecting southeast Asia.   These mechanisms are very similar and will be described in the following two sections. </w:t>
      </w:r>
    </w:p>
    <w:p w:rsidR="003926B2" w:rsidRPr="00637E95" w:rsidRDefault="003926B2" w:rsidP="00637E95">
      <w:pPr>
        <w:spacing w:after="120" w:line="240" w:lineRule="auto"/>
        <w:rPr>
          <w:rFonts w:ascii="Arial" w:hAnsi="Arial" w:cs="Arial"/>
          <w:sz w:val="20"/>
          <w:szCs w:val="20"/>
        </w:rPr>
      </w:pPr>
      <w:r w:rsidRPr="00637E95">
        <w:rPr>
          <w:rFonts w:ascii="Arial" w:hAnsi="Arial" w:cs="Arial"/>
          <w:b/>
          <w:sz w:val="20"/>
          <w:szCs w:val="20"/>
        </w:rPr>
        <w:t xml:space="preserve">8.1.3.2.1  </w:t>
      </w:r>
      <w:r w:rsidR="00893719">
        <w:rPr>
          <w:rFonts w:ascii="Arial" w:eastAsiaTheme="minorEastAsia" w:hAnsi="Arial" w:cs="Arial" w:hint="eastAsia"/>
          <w:b/>
          <w:sz w:val="20"/>
          <w:szCs w:val="20"/>
          <w:lang w:eastAsia="zh-CN"/>
        </w:rPr>
        <w:t xml:space="preserve">Remote rainfall in </w:t>
      </w:r>
      <w:r w:rsidR="001967A7">
        <w:rPr>
          <w:rFonts w:ascii="Arial" w:eastAsiaTheme="minorEastAsia" w:hAnsi="Arial" w:cs="Arial"/>
          <w:b/>
          <w:sz w:val="20"/>
          <w:szCs w:val="20"/>
          <w:lang w:eastAsia="zh-CN"/>
        </w:rPr>
        <w:t xml:space="preserve">the </w:t>
      </w:r>
      <w:r w:rsidR="00893719">
        <w:rPr>
          <w:rFonts w:ascii="Arial" w:eastAsiaTheme="minorEastAsia" w:hAnsi="Arial" w:cs="Arial" w:hint="eastAsia"/>
          <w:b/>
          <w:sz w:val="20"/>
          <w:szCs w:val="20"/>
          <w:lang w:eastAsia="zh-CN"/>
        </w:rPr>
        <w:t>north Atlantic basin</w:t>
      </w:r>
      <w:r w:rsidRPr="00637E95">
        <w:rPr>
          <w:rFonts w:ascii="Arial" w:hAnsi="Arial" w:cs="Arial"/>
          <w:b/>
          <w:sz w:val="20"/>
          <w:szCs w:val="20"/>
        </w:rPr>
        <w:t>: Predecessor Rain Events (PREs)</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Predecessor rain events (PREs) are subsynoptic-scale regions of high-impact heavy rainfall that occur ahead of tropical cyclones (TCs). Cote (2007) first coined the term PRE, and identified rain events as PREs based on the following criteria [Galarneau et al. (2010), p. 3275]: 1) radar reflectivity values ≥35 dB</w:t>
      </w:r>
      <w:r w:rsidRPr="00637E95">
        <w:rPr>
          <w:rFonts w:ascii="Arial" w:hAnsi="Arial" w:cs="Arial"/>
          <w:i/>
          <w:sz w:val="20"/>
          <w:szCs w:val="20"/>
        </w:rPr>
        <w:t>Z</w:t>
      </w:r>
      <w:r w:rsidRPr="00637E95">
        <w:rPr>
          <w:rFonts w:ascii="Arial" w:hAnsi="Arial" w:cs="Arial"/>
          <w:sz w:val="20"/>
          <w:szCs w:val="20"/>
        </w:rPr>
        <w:t xml:space="preserve"> within a coherent area of rainfall persisting for at least 6 hours; 2) average rainfall must be ≥100 mm (24 h)</w:t>
      </w:r>
      <w:r w:rsidRPr="00637E95">
        <w:rPr>
          <w:rFonts w:ascii="Arial" w:hAnsi="Arial" w:cs="Arial"/>
          <w:sz w:val="20"/>
          <w:szCs w:val="20"/>
          <w:vertAlign w:val="superscript"/>
        </w:rPr>
        <w:t>−1</w:t>
      </w:r>
      <w:r w:rsidRPr="00637E95">
        <w:rPr>
          <w:rFonts w:ascii="Arial" w:hAnsi="Arial" w:cs="Arial"/>
          <w:sz w:val="20"/>
          <w:szCs w:val="20"/>
        </w:rPr>
        <w:t xml:space="preserve"> over the entire life of the PRE; 3) clear separation on the radar imagery between the coherent area of rainfall and the TC rain shield; and 4) deep tropical moisture directly associated with the TC must be advected away from the TC into the region of the coherent area of rainfall. Cote (2007) identified 47 PREs associated with 21 TCs over the eastern third of the U.S. and western North Atlantic during 1998–2006. Additionally, Cote found that nearly one-third of all landfalling TCs produced at least one PRE, which demonstrated that these events are not rare. </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Motivation to study PREs was provided by a mesoscale PRE that occurred over New York City and flooded parts of the subway system on 8 September 2004 ahead of TC Frances, which was moving northeastward over the western flank of the Appalachians. The combination of poor forecasts by the operational numerical weather prediction models and a focus on the location and evolution of the remnants of Frances by forecasters and the general public both contributed to the unexpected socioeconomic impact of this PRE. Even PREs over the Midwest U.S. have been documented to produce extreme flooding. Rowe and Villarini (2013) used stream gauge data to show that of the six PREs that occurred over the Midwest U.S. during 2002–2008, four produced widespread flooding with at least a 10-year recurrence interval.</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 xml:space="preserve">The Galarneau et al. (2010) climatology and compositing study covered PREs over the continental U.S. (CONUS) east of the Rockies from 1995–2008. They found that PREs </w:t>
      </w:r>
      <w:r w:rsidR="00C36181" w:rsidRPr="00637E95">
        <w:rPr>
          <w:rFonts w:ascii="Arial" w:hAnsi="Arial" w:cs="Arial"/>
          <w:sz w:val="20"/>
          <w:szCs w:val="20"/>
        </w:rPr>
        <w:t>occurred</w:t>
      </w:r>
      <w:r w:rsidRPr="00637E95">
        <w:rPr>
          <w:rFonts w:ascii="Arial" w:hAnsi="Arial" w:cs="Arial"/>
          <w:sz w:val="20"/>
          <w:szCs w:val="20"/>
        </w:rPr>
        <w:t xml:space="preserve"> most commonly in August and September and that 30% of all TCs that occurred west of 70°W and north of 20°N produced at least one PRE over the CONUS. In agreement with Cote’s (2007) analysis, these PREs were characterized by a median PRE-TC separation distance of 1000 km, longevity of 15 hours, and time lag between PRE occurrence and eventual TC passage of 36 hours. While 17 of 28 PREs examined by Galarneau et al. (2010) occurred left of the TC track, PREs that occur along-track (7/28) can be particularly devastating as rains directly associated with the TC fall onto soil already saturated by the PRE.</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 xml:space="preserve">Galarneau et al. (2010) examined the synoptic-scale flow patterns associated with PREs using composite analyses in PRE-relative coordinates. They classified PREs by the curvature of the upper-level jet, and they found that 17 of 28 PREs occurred with an anticyclonically-curved jet , eight of 28 with a cyclonically-curved jet,  and three of the PREs </w:t>
      </w:r>
      <w:r w:rsidR="00C36181">
        <w:rPr>
          <w:rFonts w:ascii="Arial" w:hAnsi="Arial" w:cs="Arial"/>
          <w:sz w:val="20"/>
          <w:szCs w:val="20"/>
        </w:rPr>
        <w:t>were</w:t>
      </w:r>
      <w:r w:rsidR="00C36181" w:rsidRPr="00637E95">
        <w:rPr>
          <w:rFonts w:ascii="Arial" w:hAnsi="Arial" w:cs="Arial"/>
          <w:sz w:val="20"/>
          <w:szCs w:val="20"/>
        </w:rPr>
        <w:t xml:space="preserve"> </w:t>
      </w:r>
      <w:r w:rsidRPr="00637E95">
        <w:rPr>
          <w:rFonts w:ascii="Arial" w:hAnsi="Arial" w:cs="Arial"/>
          <w:sz w:val="20"/>
          <w:szCs w:val="20"/>
        </w:rPr>
        <w:t>not classifiable. Composite analysis of the PREs with an anticyclonically-curved jet structure showed that PREs occurred along a frontogenetical low-level baroclinic zone in the equatorward entrance region of an upper-level jet streak. Organized precipitation developed in this favorable synoptic-scale region for ascent when deep tropical moisture was advected poleward by a low-level jet from the parent TC to the baroclinic zone. Frontogenesis along the low-level baroclinic zone then forced the moist tropical air to ascend. Case studies of PREs associated with TC Erin (2007) by Galarneau et al. (2010) and Schumacher et al. (2011) and TC Ike (2008) by Bosart et al. (2012) have shown that the organized rain regions associated with PREs are heavy-rain-producing mesoscale convective systems that developed in a flow pattern that resembled the “frontal”-type MCS identified by Maddox et al. (1979).</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 xml:space="preserve">Moore et al. (2013) made a significant contribution to PRE research with their compositing study of PREs that occurred over the CONUS east of the Rockies during 1988–2010. Moore et al. identified three distinct synoptic-scale weather patterns in which PREs occur. These three synoptic patterns were termed “Jet in Ridge” (JR), “Southwesterly Jet” (SJ), and “Downstream Confluence” (DC), which are schematically illustrated in Fig. 16. Composites of these categories have many of the same characteristics identified by Galarneau et al. (2010), and primarily that PREs developed as moist air from the TC circulation was transported poleward and forced to ascend near a low-level frontogenetical baroclinic zone beneath the equatorward jet entrance region of an upper-level jet streak. </w:t>
      </w:r>
    </w:p>
    <w:p w:rsidR="003926B2" w:rsidRPr="00236347" w:rsidRDefault="00C52FDD" w:rsidP="003926B2">
      <w:pPr>
        <w:spacing w:line="360" w:lineRule="auto"/>
        <w:jc w:val="center"/>
      </w:pPr>
      <w:r>
        <w:rPr>
          <w:noProof/>
        </w:rPr>
        <w:lastRenderedPageBreak/>
        <w:drawing>
          <wp:inline distT="0" distB="0" distL="0" distR="0" wp14:anchorId="65B7228A" wp14:editId="3DB4EF76">
            <wp:extent cx="3262745" cy="62428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rneau_pic_1_orig.jpg"/>
                    <pic:cNvPicPr/>
                  </pic:nvPicPr>
                  <pic:blipFill>
                    <a:blip r:embed="rId25">
                      <a:extLst>
                        <a:ext uri="{28A0092B-C50C-407E-A947-70E740481C1C}">
                          <a14:useLocalDpi xmlns:a14="http://schemas.microsoft.com/office/drawing/2010/main" val="0"/>
                        </a:ext>
                      </a:extLst>
                    </a:blip>
                    <a:stretch>
                      <a:fillRect/>
                    </a:stretch>
                  </pic:blipFill>
                  <pic:spPr>
                    <a:xfrm>
                      <a:off x="0" y="0"/>
                      <a:ext cx="3262745" cy="6242858"/>
                    </a:xfrm>
                    <a:prstGeom prst="rect">
                      <a:avLst/>
                    </a:prstGeom>
                  </pic:spPr>
                </pic:pic>
              </a:graphicData>
            </a:graphic>
          </wp:inline>
        </w:drawing>
      </w:r>
    </w:p>
    <w:p w:rsidR="003926B2" w:rsidRPr="00AA489E" w:rsidRDefault="003926B2" w:rsidP="00637E95">
      <w:pPr>
        <w:spacing w:after="120" w:line="240" w:lineRule="auto"/>
        <w:rPr>
          <w:rFonts w:ascii="Arial" w:hAnsi="Arial" w:cs="Arial"/>
          <w:sz w:val="20"/>
          <w:szCs w:val="20"/>
        </w:rPr>
      </w:pPr>
      <w:r w:rsidRPr="00AA489E">
        <w:rPr>
          <w:rFonts w:ascii="Arial" w:hAnsi="Arial" w:cs="Arial"/>
          <w:b/>
          <w:sz w:val="20"/>
          <w:szCs w:val="20"/>
        </w:rPr>
        <w:t>Figure 16</w:t>
      </w:r>
      <w:r w:rsidRPr="00AA489E">
        <w:rPr>
          <w:rFonts w:ascii="Arial" w:hAnsi="Arial" w:cs="Arial"/>
          <w:sz w:val="20"/>
          <w:szCs w:val="20"/>
        </w:rPr>
        <w:t xml:space="preserve">. Conceptual model by Moore et al. (2013, Fig. 20) of the key synoptic-scale features and processes for (a) Jet Ridge, (b) Southwesterly Jet, and (c) Downstream Confluence category PREs. </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 xml:space="preserve">A useful aspect of Moore et al.’s (2013) classification is that it allows an assessment of the role of the TC in PRE development. For the JR category (Fig. 16a), the TC has an </w:t>
      </w:r>
      <w:r w:rsidRPr="00637E95">
        <w:rPr>
          <w:rFonts w:ascii="Arial" w:hAnsi="Arial" w:cs="Arial"/>
          <w:i/>
          <w:sz w:val="20"/>
          <w:szCs w:val="20"/>
        </w:rPr>
        <w:t>indirect</w:t>
      </w:r>
      <w:r w:rsidRPr="00637E95">
        <w:rPr>
          <w:rFonts w:ascii="Arial" w:hAnsi="Arial" w:cs="Arial"/>
          <w:sz w:val="20"/>
          <w:szCs w:val="20"/>
        </w:rPr>
        <w:t xml:space="preserve"> role in PRE development, as the TC only acts as a source for anomalously high water vapor that is transported to the PRE region by the low-level jet. The JR cases resemble the Maddox et al. (1979) frontal type flash-flood, and the PREs associated with TC Erin (2007) and TC Ike (2008) are examples of the JR synoptic classification. As discussed by Galarneau et al. (2010) and Moore et al. (2013), these JR PREs occur in synoptic patterns that would be conducive to heavy rainfall whether a TC was present or not. As shown by Schumacher et al. (2011) in a numerical modeling study of the TC Erin (2007) PRE, the TC moisture </w:t>
      </w:r>
      <w:r w:rsidRPr="00637E95">
        <w:rPr>
          <w:rFonts w:ascii="Arial" w:hAnsi="Arial" w:cs="Arial"/>
          <w:sz w:val="20"/>
          <w:szCs w:val="20"/>
        </w:rPr>
        <w:lastRenderedPageBreak/>
        <w:t>plume contributed to a 33% increase in the area mean rainfall and a doubling of the maximum rainfall, which turned a 100-y rain event to an estimated 2000-y rain event.</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 xml:space="preserve">For the SJ and DC synoptic patterns (Figs. 16b,c), the TC has a </w:t>
      </w:r>
      <w:r w:rsidRPr="00637E95">
        <w:rPr>
          <w:rFonts w:ascii="Arial" w:hAnsi="Arial" w:cs="Arial"/>
          <w:i/>
          <w:sz w:val="20"/>
          <w:szCs w:val="20"/>
        </w:rPr>
        <w:t>direct</w:t>
      </w:r>
      <w:r w:rsidRPr="00637E95">
        <w:rPr>
          <w:rFonts w:ascii="Arial" w:hAnsi="Arial" w:cs="Arial"/>
          <w:sz w:val="20"/>
          <w:szCs w:val="20"/>
        </w:rPr>
        <w:t xml:space="preserve"> role in PRE development in two ways. First, the strong low-level southerly flow driven by the pressure gradient between the recurving TC and the subtropical anticyclone to the east advects moist air poleward. Second, combined diabatic outflow from the TC and the developing PRE acts to strengthen and anchor the upper-level jet streak. The TC-jet interactions for the JR and SJ composites are compared in Fig. 17. Note that for the JR case, diabatic outflow associated with the developing PRE acts to strengthen and anchor the upper-level jet north of the PRE by sharpening the upper-level potential vorticity (PV) gradient through negative advection of PV by the irrotational wind (Figs. 17a,b). For the SJ composite, diabatic outflow from both the TC </w:t>
      </w:r>
      <w:r w:rsidRPr="00637E95">
        <w:rPr>
          <w:rFonts w:ascii="Arial" w:hAnsi="Arial" w:cs="Arial"/>
          <w:i/>
          <w:sz w:val="20"/>
          <w:szCs w:val="20"/>
        </w:rPr>
        <w:t>and</w:t>
      </w:r>
      <w:r w:rsidRPr="00637E95">
        <w:rPr>
          <w:rFonts w:ascii="Arial" w:hAnsi="Arial" w:cs="Arial"/>
          <w:sz w:val="20"/>
          <w:szCs w:val="20"/>
        </w:rPr>
        <w:t xml:space="preserve"> the developing PRE act to strengthen and anchor the upper-level jet north of the developing PRE region (Figs. 23c,d). Strengthening and anchoring of the upper-level jet by the TC and/or developing PRE have been documented to facilitate the development of subsequent PREs (Bosart et al. 2012) and aid in the development of atmospheric rivers over the western North Pacific (Cordeira et al. 2013).</w:t>
      </w:r>
    </w:p>
    <w:p w:rsidR="003926B2" w:rsidRPr="00236347" w:rsidRDefault="0080168D" w:rsidP="003926B2">
      <w:pPr>
        <w:spacing w:line="360" w:lineRule="auto"/>
        <w:jc w:val="center"/>
      </w:pPr>
      <w:r>
        <w:rPr>
          <w:noProof/>
        </w:rPr>
        <w:drawing>
          <wp:inline distT="0" distB="0" distL="0" distR="0" wp14:anchorId="615347D9" wp14:editId="52F842B2">
            <wp:extent cx="5943600" cy="4331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rneau_pic_2_orig.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331970"/>
                    </a:xfrm>
                    <a:prstGeom prst="rect">
                      <a:avLst/>
                    </a:prstGeom>
                  </pic:spPr>
                </pic:pic>
              </a:graphicData>
            </a:graphic>
          </wp:inline>
        </w:drawing>
      </w:r>
    </w:p>
    <w:p w:rsidR="003926B2" w:rsidRDefault="003926B2" w:rsidP="004B6A1E">
      <w:pPr>
        <w:spacing w:after="120" w:line="240" w:lineRule="auto"/>
        <w:jc w:val="both"/>
        <w:rPr>
          <w:rFonts w:ascii="Arial" w:hAnsi="Arial" w:cs="Arial"/>
          <w:sz w:val="20"/>
          <w:szCs w:val="20"/>
        </w:rPr>
      </w:pPr>
      <w:r>
        <w:rPr>
          <w:rFonts w:ascii="Arial" w:hAnsi="Arial" w:cs="Arial"/>
          <w:b/>
          <w:sz w:val="20"/>
          <w:szCs w:val="20"/>
        </w:rPr>
        <w:t>Figure 17</w:t>
      </w:r>
      <w:r w:rsidRPr="00B243E1">
        <w:rPr>
          <w:rFonts w:ascii="Arial" w:hAnsi="Arial" w:cs="Arial"/>
          <w:sz w:val="20"/>
          <w:szCs w:val="20"/>
        </w:rPr>
        <w:t>.  PRE-relative composites of (a),(c) 200 hPa geopotential height (contours every 10 dam) and wind speed (shaded, color bar in m s</w:t>
      </w:r>
      <w:r w:rsidRPr="00B243E1">
        <w:rPr>
          <w:rFonts w:ascii="Arial" w:hAnsi="Arial" w:cs="Arial"/>
          <w:sz w:val="20"/>
          <w:szCs w:val="20"/>
          <w:vertAlign w:val="superscript"/>
        </w:rPr>
        <w:t>−1</w:t>
      </w:r>
      <w:r w:rsidRPr="00B243E1">
        <w:rPr>
          <w:rFonts w:ascii="Arial" w:hAnsi="Arial" w:cs="Arial"/>
          <w:sz w:val="20"/>
          <w:szCs w:val="20"/>
        </w:rPr>
        <w:t>) and (b),(d) 250–200 hPa layer-mean irrotational wind (arrows in m s</w:t>
      </w:r>
      <w:r w:rsidRPr="00B243E1">
        <w:rPr>
          <w:rFonts w:ascii="Arial" w:hAnsi="Arial" w:cs="Arial"/>
          <w:sz w:val="20"/>
          <w:szCs w:val="20"/>
          <w:vertAlign w:val="superscript"/>
        </w:rPr>
        <w:t>−1</w:t>
      </w:r>
      <w:r w:rsidRPr="00B243E1">
        <w:rPr>
          <w:rFonts w:ascii="Arial" w:hAnsi="Arial" w:cs="Arial"/>
          <w:sz w:val="20"/>
          <w:szCs w:val="20"/>
        </w:rPr>
        <w:t>), 700–500 hPa layer-mean ascent (green contours every 1.0×10</w:t>
      </w:r>
      <w:r w:rsidRPr="00B243E1">
        <w:rPr>
          <w:rFonts w:ascii="Arial" w:hAnsi="Arial" w:cs="Arial"/>
          <w:sz w:val="20"/>
          <w:szCs w:val="20"/>
          <w:vertAlign w:val="superscript"/>
        </w:rPr>
        <w:t>−3</w:t>
      </w:r>
      <w:r w:rsidRPr="00B243E1">
        <w:rPr>
          <w:rFonts w:ascii="Arial" w:hAnsi="Arial" w:cs="Arial"/>
          <w:sz w:val="20"/>
          <w:szCs w:val="20"/>
        </w:rPr>
        <w:t xml:space="preserve"> hPa s</w:t>
      </w:r>
      <w:r w:rsidRPr="00B243E1">
        <w:rPr>
          <w:rFonts w:ascii="Arial" w:hAnsi="Arial" w:cs="Arial"/>
          <w:sz w:val="20"/>
          <w:szCs w:val="20"/>
          <w:vertAlign w:val="superscript"/>
        </w:rPr>
        <w:t>−1</w:t>
      </w:r>
      <w:r w:rsidRPr="00B243E1">
        <w:rPr>
          <w:rFonts w:ascii="Arial" w:hAnsi="Arial" w:cs="Arial"/>
          <w:sz w:val="20"/>
          <w:szCs w:val="20"/>
        </w:rPr>
        <w:t xml:space="preserve"> starting at −1.0×10</w:t>
      </w:r>
      <w:r w:rsidRPr="00B243E1">
        <w:rPr>
          <w:rFonts w:ascii="Arial" w:hAnsi="Arial" w:cs="Arial"/>
          <w:sz w:val="20"/>
          <w:szCs w:val="20"/>
          <w:vertAlign w:val="superscript"/>
        </w:rPr>
        <w:t>−3</w:t>
      </w:r>
      <w:r w:rsidRPr="00B243E1">
        <w:rPr>
          <w:rFonts w:ascii="Arial" w:hAnsi="Arial" w:cs="Arial"/>
          <w:sz w:val="20"/>
          <w:szCs w:val="20"/>
        </w:rPr>
        <w:t xml:space="preserve"> hPa s</w:t>
      </w:r>
      <w:r w:rsidRPr="00B243E1">
        <w:rPr>
          <w:rFonts w:ascii="Arial" w:hAnsi="Arial" w:cs="Arial"/>
          <w:sz w:val="20"/>
          <w:szCs w:val="20"/>
          <w:vertAlign w:val="superscript"/>
        </w:rPr>
        <w:t>−1</w:t>
      </w:r>
      <w:r w:rsidRPr="00B243E1">
        <w:rPr>
          <w:rFonts w:ascii="Arial" w:hAnsi="Arial" w:cs="Arial"/>
          <w:sz w:val="20"/>
          <w:szCs w:val="20"/>
        </w:rPr>
        <w:t>), PV in the 250–200 hPa layer (shaded, color bar in PVU), and PV advection by the 250–200 hPa layer-mean irrotational wind (negative values contoured in red every 2.0 PVU day</w:t>
      </w:r>
      <w:r w:rsidRPr="00B243E1">
        <w:rPr>
          <w:rFonts w:ascii="Arial" w:hAnsi="Arial" w:cs="Arial"/>
          <w:sz w:val="20"/>
          <w:szCs w:val="20"/>
          <w:vertAlign w:val="superscript"/>
        </w:rPr>
        <w:t>−1</w:t>
      </w:r>
      <w:r w:rsidRPr="00B243E1">
        <w:rPr>
          <w:rFonts w:ascii="Arial" w:hAnsi="Arial" w:cs="Arial"/>
          <w:sz w:val="20"/>
          <w:szCs w:val="20"/>
        </w:rPr>
        <w:t xml:space="preserve"> starting at −2 PVU day</w:t>
      </w:r>
      <w:r w:rsidRPr="00B243E1">
        <w:rPr>
          <w:rFonts w:ascii="Arial" w:hAnsi="Arial" w:cs="Arial"/>
          <w:sz w:val="20"/>
          <w:szCs w:val="20"/>
          <w:vertAlign w:val="superscript"/>
        </w:rPr>
        <w:t>−1</w:t>
      </w:r>
      <w:r w:rsidRPr="00B243E1">
        <w:rPr>
          <w:rFonts w:ascii="Arial" w:hAnsi="Arial" w:cs="Arial"/>
          <w:sz w:val="20"/>
          <w:szCs w:val="20"/>
        </w:rPr>
        <w:t xml:space="preserve">) at time </w:t>
      </w:r>
      <w:r w:rsidRPr="00B243E1">
        <w:rPr>
          <w:rFonts w:ascii="Arial" w:hAnsi="Arial" w:cs="Arial"/>
          <w:i/>
          <w:sz w:val="20"/>
          <w:szCs w:val="20"/>
        </w:rPr>
        <w:t>T−0</w:t>
      </w:r>
      <w:r w:rsidRPr="00B243E1">
        <w:rPr>
          <w:rFonts w:ascii="Arial" w:hAnsi="Arial" w:cs="Arial"/>
          <w:sz w:val="20"/>
          <w:szCs w:val="20"/>
        </w:rPr>
        <w:t xml:space="preserve"> for the (a),(b) JR and (c),(d) SJ category PREs. The PRE initiation location and the composite TC location are indicated (Reproduced from (a) Fig. 5c, (b) Fig. 8b, (c) Fig. 9c, and (d) Fig. 12b from Moore et al. (2013)).</w:t>
      </w:r>
    </w:p>
    <w:p w:rsidR="0080168D" w:rsidRDefault="0080168D" w:rsidP="00637E95">
      <w:pPr>
        <w:spacing w:after="120" w:line="240" w:lineRule="auto"/>
        <w:rPr>
          <w:rFonts w:ascii="Arial" w:hAnsi="Arial" w:cs="Arial"/>
          <w:b/>
          <w:sz w:val="20"/>
          <w:szCs w:val="20"/>
        </w:rPr>
      </w:pPr>
    </w:p>
    <w:p w:rsidR="003926B2" w:rsidRPr="00637E95" w:rsidRDefault="003926B2" w:rsidP="00637E95">
      <w:pPr>
        <w:spacing w:after="120" w:line="240" w:lineRule="auto"/>
        <w:rPr>
          <w:rFonts w:ascii="Arial" w:hAnsi="Arial" w:cs="Arial"/>
          <w:sz w:val="20"/>
          <w:szCs w:val="20"/>
        </w:rPr>
      </w:pPr>
      <w:r w:rsidRPr="00637E95">
        <w:rPr>
          <w:rFonts w:ascii="Arial" w:hAnsi="Arial" w:cs="Arial"/>
          <w:b/>
          <w:sz w:val="20"/>
          <w:szCs w:val="20"/>
        </w:rPr>
        <w:lastRenderedPageBreak/>
        <w:t>8.1.3.2.2  Remote rainfall in other global basins</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Remote rainfall also been documented in other parts of the world.  For example, a heavy rainfall event over Japan on 2–4 September 2004 was linked to moisture transport by TC Songda’s outer circulation (Wang et al. 2009). From a climatological perspective, Corbosiero et al. (2009) showed that nearly 20% of the annual rainfall over the southwest U.S. occurred in conjunction with TC remnants. It is highly likely that some of these events were PREs.  Byun and Lee (2012) showed that PREs over Korea can occur in situations where moisture surges northwestward ahead of a recurving TC in the presence of enhanced southerly flow between a midlatutude trough to the west and the subtropical high to the east.  Gao et al. (2009) reported that the flooding and mudslides from Tropical Storm Bilis (2006) that killed more than 840 people in China resulted from interactions that included remote rainfall.  Meng and Zhang (2012) showed that PREs over China occasionally develop into organized propagating mesoscale convective systems due to the enhanced moisture, instability, and vertical wind shear ahead of the TC.</w:t>
      </w:r>
    </w:p>
    <w:p w:rsidR="003926B2" w:rsidRPr="00637E95" w:rsidRDefault="003926B2" w:rsidP="004B6A1E">
      <w:pPr>
        <w:spacing w:after="120" w:line="240" w:lineRule="auto"/>
        <w:ind w:firstLine="420"/>
        <w:rPr>
          <w:rFonts w:ascii="Arial" w:hAnsi="Arial" w:cs="Arial"/>
          <w:sz w:val="20"/>
          <w:szCs w:val="20"/>
        </w:rPr>
      </w:pPr>
      <w:r w:rsidRPr="00637E95">
        <w:rPr>
          <w:rFonts w:ascii="Arial" w:hAnsi="Arial" w:cs="Arial"/>
          <w:sz w:val="20"/>
          <w:szCs w:val="20"/>
        </w:rPr>
        <w:t>Cong et al. (2012) showed that 14.7% of TCs passing near or making landfall in China during the period of 1971-2006 were associated with remote rainfall, which they referred to as tropical cyclone remote precipitation (TRP).  Satellite images for two such events are presented in Fig. 18.</w:t>
      </w:r>
    </w:p>
    <w:p w:rsidR="003926B2" w:rsidRPr="005B10AE" w:rsidRDefault="003926B2" w:rsidP="003926B2">
      <w:pPr>
        <w:widowControl w:val="0"/>
        <w:spacing w:after="0" w:line="24" w:lineRule="atLeast"/>
        <w:ind w:firstLineChars="200" w:firstLine="420"/>
        <w:jc w:val="center"/>
        <w:rPr>
          <w:rFonts w:ascii="Times New Roman" w:eastAsia="SimSun" w:hAnsi="Times New Roman" w:cs="Times New Roman"/>
          <w:kern w:val="2"/>
          <w:sz w:val="21"/>
          <w:szCs w:val="24"/>
          <w:lang w:eastAsia="zh-CN"/>
        </w:rPr>
      </w:pPr>
      <w:r>
        <w:rPr>
          <w:rFonts w:ascii="Times New Roman" w:eastAsia="SimSun" w:hAnsi="Times New Roman" w:cs="Times New Roman"/>
          <w:noProof/>
          <w:kern w:val="2"/>
          <w:sz w:val="21"/>
          <w:szCs w:val="24"/>
        </w:rPr>
        <w:drawing>
          <wp:inline distT="0" distB="0" distL="0" distR="0" wp14:anchorId="192391F7" wp14:editId="04A36868">
            <wp:extent cx="3847465" cy="168656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7465" cy="1686560"/>
                    </a:xfrm>
                    <a:prstGeom prst="rect">
                      <a:avLst/>
                    </a:prstGeom>
                    <a:noFill/>
                    <a:ln>
                      <a:noFill/>
                    </a:ln>
                  </pic:spPr>
                </pic:pic>
              </a:graphicData>
            </a:graphic>
          </wp:inline>
        </w:drawing>
      </w:r>
    </w:p>
    <w:p w:rsidR="003926B2" w:rsidRPr="00637E95" w:rsidRDefault="003926B2" w:rsidP="00637E95">
      <w:pPr>
        <w:widowControl w:val="0"/>
        <w:spacing w:after="120" w:line="240" w:lineRule="auto"/>
        <w:jc w:val="both"/>
        <w:rPr>
          <w:rFonts w:ascii="Arial" w:eastAsia="SimSun" w:hAnsi="Arial" w:cs="Arial"/>
          <w:kern w:val="2"/>
          <w:sz w:val="20"/>
          <w:szCs w:val="20"/>
          <w:lang w:eastAsia="zh-CN"/>
        </w:rPr>
      </w:pPr>
      <w:r w:rsidRPr="00526B4E">
        <w:rPr>
          <w:rFonts w:ascii="Arial" w:eastAsia="SimSun" w:hAnsi="Arial" w:cs="Arial"/>
          <w:b/>
          <w:kern w:val="2"/>
          <w:sz w:val="20"/>
          <w:szCs w:val="20"/>
          <w:lang w:eastAsia="zh-CN"/>
        </w:rPr>
        <w:t>Figure 18</w:t>
      </w:r>
      <w:r w:rsidRPr="00526B4E">
        <w:rPr>
          <w:rFonts w:ascii="Arial" w:eastAsia="SimSun" w:hAnsi="Arial" w:cs="Arial"/>
          <w:kern w:val="2"/>
          <w:sz w:val="20"/>
          <w:szCs w:val="20"/>
          <w:lang w:eastAsia="zh-CN"/>
        </w:rPr>
        <w:t>. Tropical cyclone remote precipitation (TRP) occurs frequently in two regions: Bohai Se</w:t>
      </w:r>
      <w:r>
        <w:rPr>
          <w:rFonts w:ascii="Arial" w:eastAsia="SimSun" w:hAnsi="Arial" w:cs="Arial"/>
          <w:kern w:val="2"/>
          <w:sz w:val="20"/>
          <w:szCs w:val="20"/>
          <w:lang w:eastAsia="zh-CN"/>
        </w:rPr>
        <w:t>a and its marginal area (left- R</w:t>
      </w:r>
      <w:r w:rsidRPr="00526B4E">
        <w:rPr>
          <w:rFonts w:ascii="Arial" w:eastAsia="SimSun" w:hAnsi="Arial" w:cs="Arial"/>
          <w:kern w:val="2"/>
          <w:sz w:val="20"/>
          <w:szCs w:val="20"/>
          <w:lang w:eastAsia="zh-CN"/>
        </w:rPr>
        <w:t xml:space="preserve">egion I) and </w:t>
      </w:r>
      <w:r>
        <w:rPr>
          <w:rFonts w:ascii="Arial" w:eastAsia="SimSun" w:hAnsi="Arial" w:cs="Arial"/>
          <w:kern w:val="2"/>
          <w:sz w:val="20"/>
          <w:szCs w:val="20"/>
          <w:lang w:eastAsia="zh-CN"/>
        </w:rPr>
        <w:t>middle northwest China (right- R</w:t>
      </w:r>
      <w:r w:rsidRPr="00526B4E">
        <w:rPr>
          <w:rFonts w:ascii="Arial" w:eastAsia="SimSun" w:hAnsi="Arial" w:cs="Arial"/>
          <w:kern w:val="2"/>
          <w:sz w:val="20"/>
          <w:szCs w:val="20"/>
          <w:lang w:eastAsia="zh-CN"/>
        </w:rPr>
        <w:t>eigion II).</w:t>
      </w:r>
    </w:p>
    <w:p w:rsidR="003926B2" w:rsidRPr="00637E95" w:rsidRDefault="003926B2" w:rsidP="004B6A1E">
      <w:pPr>
        <w:widowControl w:val="0"/>
        <w:spacing w:after="120" w:line="240" w:lineRule="auto"/>
        <w:ind w:firstLine="420"/>
        <w:rPr>
          <w:rFonts w:ascii="Arial" w:eastAsia="SimSun" w:hAnsi="Arial" w:cs="Arial"/>
          <w:kern w:val="2"/>
          <w:sz w:val="20"/>
          <w:szCs w:val="20"/>
          <w:lang w:eastAsia="zh-CN"/>
        </w:rPr>
      </w:pPr>
      <w:r w:rsidRPr="00637E95">
        <w:rPr>
          <w:rFonts w:ascii="Arial" w:eastAsia="SimSun" w:hAnsi="Arial" w:cs="Arial"/>
          <w:kern w:val="2"/>
          <w:sz w:val="20"/>
          <w:szCs w:val="20"/>
          <w:lang w:eastAsia="zh-CN"/>
        </w:rPr>
        <w:t xml:space="preserve">The highest frequency of TRP events occurred in July and August (Fig.19) and the characteristics of rainfall from TRP events include a wide spatial distribution, a higher rainfall rate, and an extended duration (around two days). Two regions in China have frequent TRP events: Region I, </w:t>
      </w:r>
      <w:r w:rsidR="006959BD">
        <w:rPr>
          <w:rFonts w:ascii="Arial" w:eastAsia="SimSun" w:hAnsi="Arial" w:cs="Arial"/>
          <w:kern w:val="2"/>
          <w:sz w:val="20"/>
          <w:szCs w:val="20"/>
          <w:lang w:eastAsia="zh-CN"/>
        </w:rPr>
        <w:t xml:space="preserve">which </w:t>
      </w:r>
      <w:r w:rsidRPr="00637E95">
        <w:rPr>
          <w:rFonts w:ascii="Arial" w:eastAsia="SimSun" w:hAnsi="Arial" w:cs="Arial"/>
          <w:kern w:val="2"/>
          <w:sz w:val="20"/>
          <w:szCs w:val="20"/>
          <w:lang w:eastAsia="zh-CN"/>
        </w:rPr>
        <w:t>include</w:t>
      </w:r>
      <w:r w:rsidR="006959BD">
        <w:rPr>
          <w:rFonts w:ascii="Arial" w:eastAsia="SimSun" w:hAnsi="Arial" w:cs="Arial"/>
          <w:kern w:val="2"/>
          <w:sz w:val="20"/>
          <w:szCs w:val="20"/>
          <w:lang w:eastAsia="zh-CN"/>
        </w:rPr>
        <w:t>s</w:t>
      </w:r>
      <w:r w:rsidRPr="00637E95">
        <w:rPr>
          <w:rFonts w:ascii="Arial" w:eastAsia="SimSun" w:hAnsi="Arial" w:cs="Arial"/>
          <w:kern w:val="2"/>
          <w:sz w:val="20"/>
          <w:szCs w:val="20"/>
          <w:lang w:eastAsia="zh-CN"/>
        </w:rPr>
        <w:t xml:space="preserve"> the Bohai Sea and its marginal area; and Region II, </w:t>
      </w:r>
      <w:r w:rsidR="006959BD">
        <w:rPr>
          <w:rFonts w:ascii="Arial" w:eastAsia="SimSun" w:hAnsi="Arial" w:cs="Arial"/>
          <w:kern w:val="2"/>
          <w:sz w:val="20"/>
          <w:szCs w:val="20"/>
          <w:lang w:eastAsia="zh-CN"/>
        </w:rPr>
        <w:t xml:space="preserve">which </w:t>
      </w:r>
      <w:r w:rsidRPr="00637E95">
        <w:rPr>
          <w:rFonts w:ascii="Arial" w:eastAsia="SimSun" w:hAnsi="Arial" w:cs="Arial"/>
          <w:kern w:val="2"/>
          <w:sz w:val="20"/>
          <w:szCs w:val="20"/>
          <w:lang w:eastAsia="zh-CN"/>
        </w:rPr>
        <w:t>is in the interior, middle-northwest of mainland China. While TRP events in Region I are often induced by offshore typhoons near southeast China and the Taiwan Strait, TRP events in Region II usually occur when typhoons approach or make landfall in South China.</w:t>
      </w:r>
    </w:p>
    <w:p w:rsidR="003926B2" w:rsidRPr="00FA5E19" w:rsidRDefault="003926B2" w:rsidP="003926B2">
      <w:pPr>
        <w:widowControl w:val="0"/>
        <w:spacing w:after="0" w:line="24" w:lineRule="atLeast"/>
        <w:ind w:firstLineChars="200" w:firstLine="420"/>
        <w:jc w:val="center"/>
        <w:rPr>
          <w:rFonts w:ascii="Times New Roman" w:eastAsia="SimSun" w:hAnsi="Times New Roman" w:cs="Times New Roman"/>
          <w:kern w:val="2"/>
          <w:sz w:val="21"/>
          <w:szCs w:val="24"/>
          <w:lang w:eastAsia="zh-CN"/>
        </w:rPr>
      </w:pPr>
      <w:r>
        <w:rPr>
          <w:rFonts w:ascii="Times New Roman" w:eastAsia="SimSun" w:hAnsi="Times New Roman" w:cs="Times New Roman"/>
          <w:noProof/>
          <w:kern w:val="2"/>
          <w:sz w:val="21"/>
          <w:szCs w:val="24"/>
        </w:rPr>
        <w:drawing>
          <wp:inline distT="0" distB="0" distL="0" distR="0" wp14:anchorId="7857A07D" wp14:editId="54B4CC2D">
            <wp:extent cx="2425613" cy="17694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5654" cy="1769453"/>
                    </a:xfrm>
                    <a:prstGeom prst="rect">
                      <a:avLst/>
                    </a:prstGeom>
                    <a:noFill/>
                    <a:ln>
                      <a:noFill/>
                    </a:ln>
                  </pic:spPr>
                </pic:pic>
              </a:graphicData>
            </a:graphic>
          </wp:inline>
        </w:drawing>
      </w:r>
    </w:p>
    <w:p w:rsidR="003926B2" w:rsidRPr="00526B4E" w:rsidRDefault="003926B2" w:rsidP="00637E95">
      <w:pPr>
        <w:widowControl w:val="0"/>
        <w:spacing w:after="120" w:line="240" w:lineRule="auto"/>
        <w:jc w:val="both"/>
        <w:rPr>
          <w:rFonts w:ascii="Arial" w:eastAsia="SimSun" w:hAnsi="Arial" w:cs="Arial"/>
          <w:kern w:val="2"/>
          <w:sz w:val="20"/>
          <w:szCs w:val="20"/>
          <w:lang w:eastAsia="zh-CN"/>
        </w:rPr>
      </w:pPr>
      <w:r w:rsidRPr="00526B4E">
        <w:rPr>
          <w:rFonts w:ascii="Arial" w:eastAsia="SimSun" w:hAnsi="Arial" w:cs="Arial"/>
          <w:b/>
          <w:kern w:val="2"/>
          <w:sz w:val="20"/>
          <w:szCs w:val="20"/>
          <w:lang w:eastAsia="zh-CN"/>
        </w:rPr>
        <w:t>Figure 19</w:t>
      </w:r>
      <w:r w:rsidRPr="00526B4E">
        <w:rPr>
          <w:rFonts w:ascii="Arial" w:eastAsia="SimSun" w:hAnsi="Arial" w:cs="Arial"/>
          <w:kern w:val="2"/>
          <w:sz w:val="20"/>
          <w:szCs w:val="20"/>
          <w:lang w:eastAsia="zh-CN"/>
        </w:rPr>
        <w:t xml:space="preserve">.  Histogram </w:t>
      </w:r>
      <w:r>
        <w:rPr>
          <w:rFonts w:ascii="Arial" w:eastAsia="SimSun" w:hAnsi="Arial" w:cs="Arial"/>
          <w:kern w:val="2"/>
          <w:sz w:val="20"/>
          <w:szCs w:val="20"/>
          <w:lang w:eastAsia="zh-CN"/>
        </w:rPr>
        <w:t xml:space="preserve">from </w:t>
      </w:r>
      <w:r w:rsidRPr="00526B4E">
        <w:rPr>
          <w:rFonts w:ascii="Arial" w:eastAsia="SimSun" w:hAnsi="Arial" w:cs="Arial"/>
          <w:kern w:val="2"/>
          <w:sz w:val="20"/>
          <w:szCs w:val="20"/>
          <w:lang w:eastAsia="zh-CN"/>
        </w:rPr>
        <w:t>Cong et al 2011</w:t>
      </w:r>
      <w:r>
        <w:rPr>
          <w:rFonts w:ascii="Arial" w:eastAsia="SimSun" w:hAnsi="Arial" w:cs="Arial"/>
          <w:kern w:val="2"/>
          <w:sz w:val="20"/>
          <w:szCs w:val="20"/>
          <w:lang w:eastAsia="zh-CN"/>
        </w:rPr>
        <w:t xml:space="preserve"> of </w:t>
      </w:r>
      <w:r w:rsidRPr="00526B4E">
        <w:rPr>
          <w:rFonts w:ascii="Arial" w:eastAsia="SimSun" w:hAnsi="Arial" w:cs="Arial"/>
          <w:kern w:val="2"/>
          <w:sz w:val="20"/>
          <w:szCs w:val="20"/>
          <w:lang w:eastAsia="zh-CN"/>
        </w:rPr>
        <w:t>the distribution of TR</w:t>
      </w:r>
      <w:r>
        <w:rPr>
          <w:rFonts w:ascii="Arial" w:eastAsia="SimSun" w:hAnsi="Arial" w:cs="Arial"/>
          <w:kern w:val="2"/>
          <w:sz w:val="20"/>
          <w:szCs w:val="20"/>
          <w:lang w:eastAsia="zh-CN"/>
        </w:rPr>
        <w:t>P occurrences by month for TC</w:t>
      </w:r>
      <w:r w:rsidRPr="00526B4E">
        <w:rPr>
          <w:rFonts w:ascii="Arial" w:eastAsia="SimSun" w:hAnsi="Arial" w:cs="Arial"/>
          <w:kern w:val="2"/>
          <w:sz w:val="20"/>
          <w:szCs w:val="20"/>
          <w:lang w:eastAsia="zh-CN"/>
        </w:rPr>
        <w:t xml:space="preserve">s passing near to or making landfall in China </w:t>
      </w:r>
      <w:r>
        <w:rPr>
          <w:rFonts w:ascii="Arial" w:eastAsia="SimSun" w:hAnsi="Arial" w:cs="Arial"/>
          <w:kern w:val="2"/>
          <w:sz w:val="20"/>
          <w:szCs w:val="20"/>
          <w:lang w:eastAsia="zh-CN"/>
        </w:rPr>
        <w:t>during the period of 1971-2006</w:t>
      </w:r>
      <w:r w:rsidRPr="00526B4E">
        <w:rPr>
          <w:rFonts w:ascii="Arial" w:eastAsia="SimSun" w:hAnsi="Arial" w:cs="Arial"/>
          <w:kern w:val="2"/>
          <w:sz w:val="20"/>
          <w:szCs w:val="20"/>
          <w:lang w:eastAsia="zh-CN"/>
        </w:rPr>
        <w:t>.</w:t>
      </w:r>
    </w:p>
    <w:p w:rsidR="003926B2" w:rsidRPr="00637E95" w:rsidRDefault="003926B2" w:rsidP="004B6A1E">
      <w:pPr>
        <w:widowControl w:val="0"/>
        <w:spacing w:after="120" w:line="240" w:lineRule="auto"/>
        <w:ind w:firstLine="720"/>
        <w:rPr>
          <w:rFonts w:ascii="Arial" w:eastAsia="SimSun" w:hAnsi="Arial" w:cs="Arial"/>
          <w:kern w:val="2"/>
          <w:sz w:val="20"/>
          <w:szCs w:val="20"/>
          <w:lang w:eastAsia="zh-CN"/>
        </w:rPr>
      </w:pPr>
      <w:r w:rsidRPr="00637E95">
        <w:rPr>
          <w:rFonts w:ascii="Arial" w:eastAsia="SimSun" w:hAnsi="Arial" w:cs="Arial"/>
          <w:kern w:val="2"/>
          <w:sz w:val="20"/>
          <w:szCs w:val="20"/>
          <w:lang w:eastAsia="zh-CN"/>
        </w:rPr>
        <w:t xml:space="preserve">Whereas some typhoons can transport moisture far away from its source location by a southeast jet in lower levels, the moisture transport in others </w:t>
      </w:r>
      <w:r w:rsidR="00EC65B9">
        <w:rPr>
          <w:rFonts w:ascii="Arial" w:eastAsia="SimSun" w:hAnsi="Arial" w:cs="Arial"/>
          <w:kern w:val="2"/>
          <w:sz w:val="20"/>
          <w:szCs w:val="20"/>
          <w:lang w:eastAsia="zh-CN"/>
        </w:rPr>
        <w:t xml:space="preserve">is </w:t>
      </w:r>
      <w:r w:rsidRPr="00637E95">
        <w:rPr>
          <w:rFonts w:ascii="Arial" w:eastAsia="SimSun" w:hAnsi="Arial" w:cs="Arial"/>
          <w:kern w:val="2"/>
          <w:sz w:val="20"/>
          <w:szCs w:val="20"/>
          <w:lang w:eastAsia="zh-CN"/>
        </w:rPr>
        <w:t xml:space="preserve">confined </w:t>
      </w:r>
      <w:r w:rsidR="00EC65B9">
        <w:rPr>
          <w:rFonts w:ascii="Arial" w:eastAsia="SimSun" w:hAnsi="Arial" w:cs="Arial"/>
          <w:kern w:val="2"/>
          <w:sz w:val="20"/>
          <w:szCs w:val="20"/>
          <w:lang w:eastAsia="zh-CN"/>
        </w:rPr>
        <w:t xml:space="preserve">to </w:t>
      </w:r>
      <w:r w:rsidRPr="00637E95">
        <w:rPr>
          <w:rFonts w:ascii="Arial" w:eastAsia="SimSun" w:hAnsi="Arial" w:cs="Arial"/>
          <w:kern w:val="2"/>
          <w:sz w:val="20"/>
          <w:szCs w:val="20"/>
          <w:lang w:eastAsia="zh-CN"/>
        </w:rPr>
        <w:t xml:space="preserve">the cyclone circulation.  Analyses of the moisture budget for a TRP area indicated an important role for the moisture transport from a distant </w:t>
      </w:r>
      <w:r w:rsidRPr="00637E95">
        <w:rPr>
          <w:rFonts w:ascii="Arial" w:eastAsia="SimSun" w:hAnsi="Arial" w:cs="Arial"/>
          <w:kern w:val="2"/>
          <w:sz w:val="20"/>
          <w:szCs w:val="20"/>
          <w:lang w:eastAsia="zh-CN"/>
        </w:rPr>
        <w:lastRenderedPageBreak/>
        <w:t>typhoon right before onset of the TRP event.</w:t>
      </w:r>
    </w:p>
    <w:p w:rsidR="003926B2" w:rsidRPr="00637E95" w:rsidRDefault="003926B2" w:rsidP="004B6A1E">
      <w:pPr>
        <w:widowControl w:val="0"/>
        <w:spacing w:after="120" w:line="240" w:lineRule="auto"/>
        <w:ind w:firstLine="720"/>
        <w:rPr>
          <w:rFonts w:ascii="Arial" w:eastAsia="SimSun" w:hAnsi="Arial" w:cs="Arial"/>
          <w:kern w:val="2"/>
          <w:sz w:val="20"/>
          <w:szCs w:val="20"/>
          <w:lang w:eastAsia="zh-CN"/>
        </w:rPr>
      </w:pPr>
      <w:r w:rsidRPr="00637E95">
        <w:rPr>
          <w:rFonts w:ascii="Arial" w:eastAsia="SimSun" w:hAnsi="Arial" w:cs="Arial"/>
          <w:kern w:val="2"/>
          <w:sz w:val="20"/>
          <w:szCs w:val="20"/>
          <w:lang w:eastAsia="zh-CN"/>
        </w:rPr>
        <w:t>The interaction between a typhoon and a mid-latitude westerly trough during a TRP event Is very similar to the PRE described above. Topography may also have an important role in increased rainfall. Three sensitivity experiments with the WRF/ARW model 3.1 version were conducted with the following results: (1) TRP rainfall would be dramati</w:t>
      </w:r>
      <w:r w:rsidR="00EC65B9">
        <w:rPr>
          <w:rFonts w:ascii="Arial" w:eastAsia="SimSun" w:hAnsi="Arial" w:cs="Arial"/>
          <w:kern w:val="2"/>
          <w:sz w:val="20"/>
          <w:szCs w:val="20"/>
          <w:lang w:eastAsia="zh-CN"/>
        </w:rPr>
        <w:t>cally decreased if the typhoon was removed or its intensity wa</w:t>
      </w:r>
      <w:r w:rsidRPr="00637E95">
        <w:rPr>
          <w:rFonts w:ascii="Arial" w:eastAsia="SimSun" w:hAnsi="Arial" w:cs="Arial"/>
          <w:kern w:val="2"/>
          <w:sz w:val="20"/>
          <w:szCs w:val="20"/>
          <w:lang w:eastAsia="zh-CN"/>
        </w:rPr>
        <w:t xml:space="preserve">s reduced; (2) The westerly trough is an another important contributor to TRP events.  The amount of rainfall from a TRP event </w:t>
      </w:r>
      <w:r w:rsidR="00EC65B9" w:rsidRPr="00637E95">
        <w:rPr>
          <w:rFonts w:ascii="Arial" w:eastAsia="SimSun" w:hAnsi="Arial" w:cs="Arial"/>
          <w:kern w:val="2"/>
          <w:sz w:val="20"/>
          <w:szCs w:val="20"/>
          <w:lang w:eastAsia="zh-CN"/>
        </w:rPr>
        <w:t xml:space="preserve">is directly proportional </w:t>
      </w:r>
      <w:r w:rsidR="00EC65B9">
        <w:rPr>
          <w:rFonts w:ascii="Arial" w:eastAsia="SimSun" w:hAnsi="Arial" w:cs="Arial"/>
          <w:kern w:val="2"/>
          <w:sz w:val="20"/>
          <w:szCs w:val="20"/>
          <w:lang w:eastAsia="zh-CN"/>
        </w:rPr>
        <w:t>to</w:t>
      </w:r>
      <w:r w:rsidRPr="00637E95">
        <w:rPr>
          <w:rFonts w:ascii="Arial" w:eastAsia="SimSun" w:hAnsi="Arial" w:cs="Arial"/>
          <w:kern w:val="2"/>
          <w:sz w:val="20"/>
          <w:szCs w:val="20"/>
          <w:lang w:eastAsia="zh-CN"/>
        </w:rPr>
        <w:t xml:space="preserve"> the strength of the westerly trough</w:t>
      </w:r>
      <w:r w:rsidR="00EC65B9">
        <w:rPr>
          <w:rFonts w:ascii="Arial" w:eastAsia="SimSun" w:hAnsi="Arial" w:cs="Arial"/>
          <w:kern w:val="2"/>
          <w:sz w:val="20"/>
          <w:szCs w:val="20"/>
          <w:lang w:eastAsia="zh-CN"/>
        </w:rPr>
        <w:t>;</w:t>
      </w:r>
      <w:r w:rsidRPr="00637E95">
        <w:rPr>
          <w:rFonts w:ascii="Arial" w:eastAsia="SimSun" w:hAnsi="Arial" w:cs="Arial"/>
          <w:kern w:val="2"/>
          <w:sz w:val="20"/>
          <w:szCs w:val="20"/>
          <w:lang w:eastAsia="zh-CN"/>
        </w:rPr>
        <w:t xml:space="preserve"> and (3) Topography also plays an important role, as precipitation from TRP events would decrease if the topography was removed.</w:t>
      </w:r>
    </w:p>
    <w:p w:rsidR="003926B2" w:rsidRPr="00637E95" w:rsidRDefault="003926B2" w:rsidP="00637E95">
      <w:pPr>
        <w:spacing w:after="120" w:line="240" w:lineRule="auto"/>
        <w:rPr>
          <w:rFonts w:ascii="Arial" w:hAnsi="Arial" w:cs="Arial"/>
          <w:sz w:val="20"/>
          <w:szCs w:val="20"/>
        </w:rPr>
      </w:pPr>
      <w:r w:rsidRPr="00637E95">
        <w:rPr>
          <w:rFonts w:ascii="Arial" w:hAnsi="Arial" w:cs="Arial"/>
          <w:b/>
          <w:sz w:val="20"/>
          <w:szCs w:val="20"/>
        </w:rPr>
        <w:t>8.1.3.3  Rainfall reinforcement</w:t>
      </w:r>
    </w:p>
    <w:p w:rsidR="003926B2" w:rsidRPr="00637E95" w:rsidRDefault="003926B2" w:rsidP="004B6A1E">
      <w:pPr>
        <w:spacing w:after="120" w:line="240" w:lineRule="auto"/>
        <w:ind w:firstLine="720"/>
        <w:rPr>
          <w:rFonts w:ascii="Arial" w:hAnsi="Arial" w:cs="Arial"/>
          <w:sz w:val="20"/>
          <w:szCs w:val="20"/>
        </w:rPr>
      </w:pPr>
      <w:r w:rsidRPr="00637E95">
        <w:rPr>
          <w:rFonts w:ascii="Arial" w:hAnsi="Arial" w:cs="Arial"/>
          <w:sz w:val="20"/>
          <w:szCs w:val="20"/>
        </w:rPr>
        <w:t>Tropical cyclones typically decay after making landfall due to a combination of surface friction as well as the disconnection from a deep source of enthalpy to fuel the storm after moving over land.  Nevertheless, TCs have occasionally regained strength after landfall via a number of physical processes, and this regeneration can lead to enhanced rainfall over inland areas.  Dong et a.l (2010) investigated the occurrences and characteristics of rainfall from landfalling TCs over mainland China during a 57-year period from 1949-2006.  Dong et al. refer to this revitalization of a TC and its associated enhanced rainfall as “rainfall reinforcement associated with landfalling tropical cyclones” (RRLTC).  Only 9.7% of the TCs in their database that made landfall in China during that period exhibited the</w:t>
      </w:r>
      <w:r w:rsidR="00EC65B9">
        <w:rPr>
          <w:rFonts w:ascii="Arial" w:hAnsi="Arial" w:cs="Arial"/>
          <w:sz w:val="20"/>
          <w:szCs w:val="20"/>
        </w:rPr>
        <w:t>se</w:t>
      </w:r>
      <w:r w:rsidRPr="00637E95">
        <w:rPr>
          <w:rFonts w:ascii="Arial" w:hAnsi="Arial" w:cs="Arial"/>
          <w:sz w:val="20"/>
          <w:szCs w:val="20"/>
        </w:rPr>
        <w:t xml:space="preserve"> characteristics of rainfall reinforcement.</w:t>
      </w:r>
    </w:p>
    <w:p w:rsidR="003926B2" w:rsidRPr="00F126A4" w:rsidRDefault="003926B2" w:rsidP="004B6A1E">
      <w:pPr>
        <w:spacing w:after="120" w:line="240" w:lineRule="auto"/>
        <w:ind w:firstLine="720"/>
        <w:rPr>
          <w:rFonts w:ascii="Arial" w:hAnsi="Arial" w:cs="Arial"/>
        </w:rPr>
      </w:pPr>
      <w:r w:rsidRPr="00637E95">
        <w:rPr>
          <w:rFonts w:ascii="Arial" w:hAnsi="Arial" w:cs="Arial"/>
          <w:sz w:val="20"/>
          <w:szCs w:val="20"/>
        </w:rPr>
        <w:t>Dong et al. (2010) show that storms that exhibit rainfall reinforcement are generally aligned along two main tracks (Fig. 20):  Northward or northwestward (TN) tracks that allow a storm to interact with a westerly trough and a low-level jet in order to gain baroclinic potential energy as well as an enhanced moisture supply; and Westward or southwestward (TW) tracks that would enable a storm to interact with a monsoonal surge and gain plentiful moisture and corresponding energy from latent heat release.  Of the 9.7% of TCs in the 57-year database that experienced rainfall reinforcement, 51% had TN tracks, while 27% had TW tracks.</w:t>
      </w:r>
    </w:p>
    <w:p w:rsidR="003926B2" w:rsidRDefault="003926B2" w:rsidP="003926B2">
      <w:pPr>
        <w:spacing w:line="24" w:lineRule="atLeast"/>
        <w:jc w:val="center"/>
        <w:rPr>
          <w:sz w:val="24"/>
        </w:rPr>
      </w:pPr>
      <w:r>
        <w:rPr>
          <w:noProof/>
        </w:rPr>
        <w:drawing>
          <wp:inline distT="0" distB="0" distL="0" distR="0" wp14:anchorId="45A58EBA" wp14:editId="7B614524">
            <wp:extent cx="1816735" cy="1935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6735" cy="1935480"/>
                    </a:xfrm>
                    <a:prstGeom prst="rect">
                      <a:avLst/>
                    </a:prstGeom>
                    <a:noFill/>
                    <a:ln>
                      <a:noFill/>
                    </a:ln>
                  </pic:spPr>
                </pic:pic>
              </a:graphicData>
            </a:graphic>
          </wp:inline>
        </w:drawing>
      </w:r>
    </w:p>
    <w:p w:rsidR="003926B2" w:rsidRPr="00F126A4" w:rsidRDefault="003926B2" w:rsidP="00637E95">
      <w:pPr>
        <w:spacing w:after="120" w:line="240" w:lineRule="auto"/>
        <w:jc w:val="both"/>
        <w:rPr>
          <w:rFonts w:ascii="Arial" w:hAnsi="Arial" w:cs="Arial"/>
          <w:sz w:val="20"/>
          <w:szCs w:val="20"/>
        </w:rPr>
      </w:pPr>
      <w:r w:rsidRPr="00F126A4">
        <w:rPr>
          <w:rFonts w:ascii="Arial" w:hAnsi="Arial" w:cs="Arial"/>
          <w:b/>
          <w:sz w:val="20"/>
          <w:szCs w:val="20"/>
        </w:rPr>
        <w:t>Figure 20</w:t>
      </w:r>
      <w:r w:rsidRPr="00F126A4">
        <w:rPr>
          <w:rFonts w:ascii="Arial" w:hAnsi="Arial" w:cs="Arial"/>
          <w:sz w:val="20"/>
          <w:szCs w:val="20"/>
        </w:rPr>
        <w:t>.  Frequency of tracks (unit: %) for landfalling tropical cyclones associated with rainfall reinforcement during 1949-2006 over mainland China.  The yellow TW and TN tracks indicate, respectively, the westward and northward tracks, which are the most common tracks taken by landfalling TCs that experience RRLTC.</w:t>
      </w:r>
    </w:p>
    <w:p w:rsidR="003926B2" w:rsidRPr="00637E95" w:rsidRDefault="003926B2" w:rsidP="004B6A1E">
      <w:pPr>
        <w:spacing w:after="120" w:line="240" w:lineRule="auto"/>
        <w:ind w:firstLine="440"/>
        <w:rPr>
          <w:rFonts w:ascii="Arial" w:hAnsi="Arial" w:cs="Arial"/>
          <w:sz w:val="20"/>
          <w:szCs w:val="20"/>
        </w:rPr>
      </w:pPr>
      <w:r w:rsidRPr="00637E95">
        <w:rPr>
          <w:rFonts w:ascii="Arial" w:hAnsi="Arial" w:cs="Arial"/>
          <w:sz w:val="20"/>
          <w:szCs w:val="20"/>
        </w:rPr>
        <w:t>For TCs with TN tracks, composite analyses from Dong et al (2010) indicate the presence of a westerly trough nearby.  However, no such westerly trough existed for storms that did not experience RRLTC (Fig. 21).  Numerical simulations by Xu et al. (1998) indicate the importance of interaction with a baroclinic trough for storms making landfall in China to help provide potential energy to the storm during extratropical transition and increase rainfall from the storm.</w:t>
      </w:r>
    </w:p>
    <w:p w:rsidR="003926B2" w:rsidRDefault="003926B2" w:rsidP="003926B2">
      <w:pPr>
        <w:spacing w:line="24" w:lineRule="atLeast"/>
        <w:ind w:firstLineChars="200" w:firstLine="440"/>
        <w:jc w:val="center"/>
      </w:pPr>
      <w:r>
        <w:rPr>
          <w:noProof/>
        </w:rPr>
        <w:lastRenderedPageBreak/>
        <w:drawing>
          <wp:inline distT="0" distB="0" distL="0" distR="0" wp14:anchorId="5DA67288" wp14:editId="5584C05E">
            <wp:extent cx="4171950" cy="3257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l="10420" r="10516" b="1869"/>
                    <a:stretch>
                      <a:fillRect/>
                    </a:stretch>
                  </pic:blipFill>
                  <pic:spPr bwMode="auto">
                    <a:xfrm>
                      <a:off x="0" y="0"/>
                      <a:ext cx="4174194" cy="3259302"/>
                    </a:xfrm>
                    <a:prstGeom prst="rect">
                      <a:avLst/>
                    </a:prstGeom>
                    <a:noFill/>
                    <a:ln>
                      <a:noFill/>
                    </a:ln>
                  </pic:spPr>
                </pic:pic>
              </a:graphicData>
            </a:graphic>
          </wp:inline>
        </w:drawing>
      </w:r>
    </w:p>
    <w:p w:rsidR="003926B2" w:rsidRPr="00CC339D" w:rsidRDefault="003926B2" w:rsidP="004B6A1E">
      <w:pPr>
        <w:spacing w:after="120" w:line="240" w:lineRule="auto"/>
        <w:jc w:val="both"/>
        <w:rPr>
          <w:rFonts w:ascii="Arial" w:hAnsi="Arial" w:cs="Arial"/>
          <w:sz w:val="20"/>
          <w:szCs w:val="20"/>
        </w:rPr>
      </w:pPr>
      <w:r w:rsidRPr="00CC339D">
        <w:rPr>
          <w:rFonts w:ascii="Arial" w:hAnsi="Arial" w:cs="Arial"/>
          <w:b/>
          <w:sz w:val="20"/>
          <w:szCs w:val="20"/>
        </w:rPr>
        <w:t>Figure 21</w:t>
      </w:r>
      <w:r w:rsidRPr="00CC339D">
        <w:rPr>
          <w:rFonts w:ascii="Arial" w:hAnsi="Arial" w:cs="Arial"/>
          <w:sz w:val="20"/>
          <w:szCs w:val="20"/>
        </w:rPr>
        <w:t>. Composite analyses of 500 hPa geopotential height</w:t>
      </w:r>
      <w:r>
        <w:rPr>
          <w:rFonts w:ascii="Arial" w:hAnsi="Arial" w:cs="Arial"/>
          <w:sz w:val="20"/>
          <w:szCs w:val="20"/>
        </w:rPr>
        <w:t>s</w:t>
      </w:r>
      <w:r w:rsidR="00EA1622">
        <w:rPr>
          <w:rFonts w:ascii="Arial" w:eastAsiaTheme="minorEastAsia" w:hAnsi="Arial" w:cs="Arial" w:hint="eastAsia"/>
          <w:sz w:val="20"/>
          <w:szCs w:val="20"/>
          <w:lang w:eastAsia="zh-CN"/>
        </w:rPr>
        <w:t xml:space="preserve"> (contours) and </w:t>
      </w:r>
      <w:r w:rsidR="00EA1622" w:rsidRPr="00EA1622">
        <w:rPr>
          <w:rFonts w:ascii="Arial" w:eastAsiaTheme="minorEastAsia" w:hAnsi="Arial" w:cs="Arial"/>
          <w:sz w:val="20"/>
          <w:szCs w:val="20"/>
          <w:lang w:eastAsia="zh-CN"/>
        </w:rPr>
        <w:t>850 hPa moisture flux (g.h.Pa cm-2 s-1)</w:t>
      </w:r>
      <w:r w:rsidR="00EA1622">
        <w:rPr>
          <w:rFonts w:ascii="Arial" w:eastAsiaTheme="minorEastAsia" w:hAnsi="Arial" w:cs="Arial" w:hint="eastAsia"/>
          <w:sz w:val="20"/>
          <w:szCs w:val="20"/>
          <w:lang w:eastAsia="zh-CN"/>
        </w:rPr>
        <w:t xml:space="preserve"> (vectors and shadings)</w:t>
      </w:r>
      <w:r w:rsidRPr="00CC339D">
        <w:rPr>
          <w:rFonts w:ascii="Arial" w:hAnsi="Arial" w:cs="Arial"/>
          <w:sz w:val="20"/>
          <w:szCs w:val="20"/>
        </w:rPr>
        <w:t xml:space="preserve"> for TCs that make landfall (D1- landfall day, D2, D3 – the second and third day)</w:t>
      </w:r>
      <w:r>
        <w:rPr>
          <w:rFonts w:ascii="Arial" w:hAnsi="Arial" w:cs="Arial"/>
          <w:sz w:val="20"/>
          <w:szCs w:val="20"/>
        </w:rPr>
        <w:t xml:space="preserve"> </w:t>
      </w:r>
      <w:r w:rsidRPr="00CC339D">
        <w:rPr>
          <w:rFonts w:ascii="Arial" w:hAnsi="Arial" w:cs="Arial"/>
          <w:sz w:val="20"/>
          <w:szCs w:val="20"/>
        </w:rPr>
        <w:t xml:space="preserve">in mainland China along </w:t>
      </w:r>
      <w:r>
        <w:rPr>
          <w:rFonts w:ascii="Arial" w:hAnsi="Arial" w:cs="Arial"/>
          <w:sz w:val="20"/>
          <w:szCs w:val="20"/>
        </w:rPr>
        <w:t xml:space="preserve">a </w:t>
      </w:r>
      <w:r w:rsidRPr="00CC339D">
        <w:rPr>
          <w:rFonts w:ascii="Arial" w:hAnsi="Arial" w:cs="Arial"/>
          <w:sz w:val="20"/>
          <w:szCs w:val="20"/>
        </w:rPr>
        <w:t>northward track (TN)</w:t>
      </w:r>
      <w:r>
        <w:rPr>
          <w:rFonts w:ascii="Arial" w:hAnsi="Arial" w:cs="Arial"/>
          <w:sz w:val="20"/>
          <w:szCs w:val="20"/>
        </w:rPr>
        <w:t xml:space="preserve"> as defined by Dong et al. (2010)</w:t>
      </w:r>
      <w:r w:rsidRPr="00CC339D">
        <w:rPr>
          <w:rFonts w:ascii="Arial" w:hAnsi="Arial" w:cs="Arial"/>
          <w:sz w:val="20"/>
          <w:szCs w:val="20"/>
        </w:rPr>
        <w:t xml:space="preserve">. Composites are for landfalling cases exhibiting RRLTC (top panels) </w:t>
      </w:r>
      <w:r>
        <w:rPr>
          <w:rFonts w:ascii="Arial" w:hAnsi="Arial" w:cs="Arial"/>
          <w:sz w:val="20"/>
          <w:szCs w:val="20"/>
        </w:rPr>
        <w:t xml:space="preserve">versus </w:t>
      </w:r>
      <w:r w:rsidRPr="00CC339D">
        <w:rPr>
          <w:rFonts w:ascii="Arial" w:hAnsi="Arial" w:cs="Arial"/>
          <w:sz w:val="20"/>
          <w:szCs w:val="20"/>
        </w:rPr>
        <w:t>no rainfall</w:t>
      </w:r>
      <w:r w:rsidR="00EC65B9">
        <w:rPr>
          <w:rFonts w:ascii="Arial" w:hAnsi="Arial" w:cs="Arial"/>
          <w:sz w:val="20"/>
          <w:szCs w:val="20"/>
        </w:rPr>
        <w:t xml:space="preserve"> reinforcement (bottom panels).</w:t>
      </w:r>
    </w:p>
    <w:p w:rsidR="003926B2" w:rsidRPr="00637E95" w:rsidRDefault="003926B2" w:rsidP="004B6A1E">
      <w:pPr>
        <w:spacing w:after="120" w:line="240" w:lineRule="auto"/>
        <w:ind w:firstLine="420"/>
        <w:rPr>
          <w:rFonts w:ascii="Arial" w:hAnsi="Arial" w:cs="Arial"/>
          <w:sz w:val="20"/>
          <w:szCs w:val="20"/>
        </w:rPr>
      </w:pPr>
      <w:r w:rsidRPr="00637E95">
        <w:rPr>
          <w:rFonts w:ascii="Arial" w:hAnsi="Arial" w:cs="Arial"/>
          <w:sz w:val="20"/>
          <w:szCs w:val="20"/>
        </w:rPr>
        <w:t xml:space="preserve">Landfalling TCs in China with RRLTC </w:t>
      </w:r>
      <w:r w:rsidR="00EC65B9">
        <w:rPr>
          <w:rFonts w:ascii="Arial" w:hAnsi="Arial" w:cs="Arial"/>
          <w:sz w:val="20"/>
          <w:szCs w:val="20"/>
        </w:rPr>
        <w:t xml:space="preserve">that </w:t>
      </w:r>
      <w:r w:rsidRPr="00637E95">
        <w:rPr>
          <w:rFonts w:ascii="Arial" w:hAnsi="Arial" w:cs="Arial"/>
          <w:sz w:val="20"/>
          <w:szCs w:val="20"/>
        </w:rPr>
        <w:t>have westward (TW) track</w:t>
      </w:r>
      <w:r w:rsidR="00EC65B9">
        <w:rPr>
          <w:rFonts w:ascii="Arial" w:hAnsi="Arial" w:cs="Arial"/>
          <w:sz w:val="20"/>
          <w:szCs w:val="20"/>
        </w:rPr>
        <w:t>s</w:t>
      </w:r>
      <w:r w:rsidRPr="00637E95">
        <w:rPr>
          <w:rFonts w:ascii="Arial" w:hAnsi="Arial" w:cs="Arial"/>
          <w:sz w:val="20"/>
          <w:szCs w:val="20"/>
        </w:rPr>
        <w:t xml:space="preserve"> (Fig. 20) interact with southwest monsoon surges.   Composite analyses from Dong et al. (2010) of 850 hPa moisture flux indicate that these westward moving TCs  that undergo RRLTC are associated with enhanced moisture flux convergence (Fig. 22, top panels).  However, the composite of TCs that do not experience RRLTC do</w:t>
      </w:r>
      <w:r w:rsidR="00EC65B9">
        <w:rPr>
          <w:rFonts w:ascii="Arial" w:hAnsi="Arial" w:cs="Arial"/>
          <w:sz w:val="20"/>
          <w:szCs w:val="20"/>
        </w:rPr>
        <w:t>es</w:t>
      </w:r>
      <w:r w:rsidRPr="00637E95">
        <w:rPr>
          <w:rFonts w:ascii="Arial" w:hAnsi="Arial" w:cs="Arial"/>
          <w:sz w:val="20"/>
          <w:szCs w:val="20"/>
        </w:rPr>
        <w:t xml:space="preserve"> not have enhanced moisture flux (Fig. 22, bottom panel</w:t>
      </w:r>
      <w:r w:rsidR="00EC65B9">
        <w:rPr>
          <w:rFonts w:ascii="Arial" w:hAnsi="Arial" w:cs="Arial"/>
          <w:sz w:val="20"/>
          <w:szCs w:val="20"/>
        </w:rPr>
        <w:t>s</w:t>
      </w:r>
      <w:r w:rsidRPr="00637E95">
        <w:rPr>
          <w:rFonts w:ascii="Arial" w:hAnsi="Arial" w:cs="Arial"/>
          <w:sz w:val="20"/>
          <w:szCs w:val="20"/>
        </w:rPr>
        <w:t>).  The enhanced moisture drawn into the TC circulation can not only lead to excessive rainfall, but it may also provide latent heat release to delay the decay of the storm.  Dong et al. (2010) also showed that a high percentage of RRLTC events occurred with weakened TC remnants that were moving slowly so the rainfall accumulation was large.</w:t>
      </w:r>
    </w:p>
    <w:p w:rsidR="003926B2" w:rsidRPr="000F0F53" w:rsidRDefault="003926B2" w:rsidP="003926B2">
      <w:pPr>
        <w:widowControl w:val="0"/>
        <w:spacing w:after="0" w:line="24" w:lineRule="atLeast"/>
        <w:ind w:firstLineChars="200" w:firstLine="420"/>
        <w:jc w:val="center"/>
        <w:rPr>
          <w:rFonts w:ascii="Times New Roman" w:eastAsia="SimSun" w:hAnsi="Times New Roman" w:cs="Times New Roman"/>
          <w:kern w:val="2"/>
          <w:sz w:val="21"/>
          <w:szCs w:val="24"/>
          <w:lang w:eastAsia="zh-CN"/>
        </w:rPr>
      </w:pPr>
      <w:r>
        <w:rPr>
          <w:rFonts w:ascii="Times New Roman" w:eastAsia="SimSun" w:hAnsi="Times New Roman" w:cs="Times New Roman"/>
          <w:noProof/>
          <w:kern w:val="2"/>
          <w:sz w:val="21"/>
          <w:szCs w:val="24"/>
        </w:rPr>
        <w:lastRenderedPageBreak/>
        <w:drawing>
          <wp:inline distT="0" distB="0" distL="0" distR="0" wp14:anchorId="3D5E2C20" wp14:editId="60CFAA87">
            <wp:extent cx="4476997" cy="36366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10300" r="9988" b="1732"/>
                    <a:stretch>
                      <a:fillRect/>
                    </a:stretch>
                  </pic:blipFill>
                  <pic:spPr bwMode="auto">
                    <a:xfrm>
                      <a:off x="0" y="0"/>
                      <a:ext cx="4476897" cy="3636557"/>
                    </a:xfrm>
                    <a:prstGeom prst="rect">
                      <a:avLst/>
                    </a:prstGeom>
                    <a:noFill/>
                    <a:ln>
                      <a:noFill/>
                    </a:ln>
                  </pic:spPr>
                </pic:pic>
              </a:graphicData>
            </a:graphic>
          </wp:inline>
        </w:drawing>
      </w:r>
    </w:p>
    <w:p w:rsidR="003926B2" w:rsidRPr="0053619F" w:rsidRDefault="003926B2" w:rsidP="003926B2">
      <w:pPr>
        <w:widowControl w:val="0"/>
        <w:spacing w:after="0" w:line="24" w:lineRule="atLeast"/>
        <w:jc w:val="both"/>
        <w:rPr>
          <w:rFonts w:ascii="Arial" w:eastAsia="SimSun" w:hAnsi="Arial" w:cs="Arial"/>
          <w:kern w:val="2"/>
          <w:sz w:val="20"/>
          <w:szCs w:val="20"/>
          <w:lang w:eastAsia="zh-CN"/>
        </w:rPr>
      </w:pPr>
      <w:r w:rsidRPr="0053619F">
        <w:rPr>
          <w:rFonts w:ascii="Arial" w:eastAsia="SimSun" w:hAnsi="Arial" w:cs="Arial"/>
          <w:b/>
          <w:kern w:val="2"/>
          <w:sz w:val="20"/>
          <w:szCs w:val="20"/>
          <w:lang w:eastAsia="zh-CN"/>
        </w:rPr>
        <w:t>Figure 22</w:t>
      </w:r>
      <w:r w:rsidRPr="0053619F">
        <w:rPr>
          <w:rFonts w:ascii="Arial" w:eastAsia="SimSun" w:hAnsi="Arial" w:cs="Arial"/>
          <w:kern w:val="2"/>
          <w:sz w:val="20"/>
          <w:szCs w:val="20"/>
          <w:lang w:eastAsia="zh-CN"/>
        </w:rPr>
        <w:t xml:space="preserve">. Composite analyses of </w:t>
      </w:r>
      <w:r w:rsidR="00EC65B9">
        <w:rPr>
          <w:rFonts w:ascii="Arial" w:eastAsia="SimSun" w:hAnsi="Arial" w:cs="Arial"/>
          <w:kern w:val="2"/>
          <w:sz w:val="20"/>
          <w:szCs w:val="20"/>
          <w:lang w:eastAsia="zh-CN"/>
        </w:rPr>
        <w:t>850 hPa moisture flux (g.h.Pa cm</w:t>
      </w:r>
      <w:r w:rsidR="00EC65B9" w:rsidRPr="00EC65B9">
        <w:rPr>
          <w:rFonts w:ascii="Arial" w:eastAsia="SimSun" w:hAnsi="Arial" w:cs="Arial"/>
          <w:kern w:val="2"/>
          <w:sz w:val="20"/>
          <w:szCs w:val="20"/>
          <w:vertAlign w:val="superscript"/>
          <w:lang w:eastAsia="zh-CN"/>
        </w:rPr>
        <w:t>-2</w:t>
      </w:r>
      <w:r w:rsidR="00EC65B9">
        <w:rPr>
          <w:rFonts w:ascii="Arial" w:eastAsia="SimSun" w:hAnsi="Arial" w:cs="Arial"/>
          <w:kern w:val="2"/>
          <w:sz w:val="20"/>
          <w:szCs w:val="20"/>
          <w:lang w:eastAsia="zh-CN"/>
        </w:rPr>
        <w:t xml:space="preserve"> s</w:t>
      </w:r>
      <w:r w:rsidR="00EC65B9" w:rsidRPr="00EC65B9">
        <w:rPr>
          <w:rFonts w:ascii="Arial" w:eastAsia="SimSun" w:hAnsi="Arial" w:cs="Arial"/>
          <w:kern w:val="2"/>
          <w:sz w:val="20"/>
          <w:szCs w:val="20"/>
          <w:vertAlign w:val="superscript"/>
          <w:lang w:eastAsia="zh-CN"/>
        </w:rPr>
        <w:t>-1</w:t>
      </w:r>
      <w:r w:rsidR="00EC65B9">
        <w:rPr>
          <w:rFonts w:ascii="Arial" w:eastAsia="SimSun" w:hAnsi="Arial" w:cs="Arial"/>
          <w:kern w:val="2"/>
          <w:sz w:val="20"/>
          <w:szCs w:val="20"/>
          <w:lang w:eastAsia="zh-CN"/>
        </w:rPr>
        <w:t>) for TCs that make landfall in mainland China and have westward tracks (Tw). Composites of TC cases with RRLTC (top panels</w:t>
      </w:r>
      <w:r w:rsidRPr="0053619F">
        <w:rPr>
          <w:rFonts w:ascii="Arial" w:eastAsia="SimSun" w:hAnsi="Arial" w:cs="Arial"/>
          <w:kern w:val="2"/>
          <w:sz w:val="20"/>
          <w:szCs w:val="20"/>
          <w:lang w:eastAsia="zh-CN"/>
        </w:rPr>
        <w:t>) and</w:t>
      </w:r>
      <w:r w:rsidR="00EC65B9">
        <w:rPr>
          <w:rFonts w:ascii="Arial" w:eastAsia="SimSun" w:hAnsi="Arial" w:cs="Arial"/>
          <w:kern w:val="2"/>
          <w:sz w:val="20"/>
          <w:szCs w:val="20"/>
          <w:lang w:eastAsia="zh-CN"/>
        </w:rPr>
        <w:t xml:space="preserve"> are compared with cases without RRLTC (bottom panels) for Days</w:t>
      </w:r>
      <w:r w:rsidRPr="0053619F">
        <w:rPr>
          <w:rFonts w:ascii="Arial" w:eastAsia="SimSun" w:hAnsi="Arial" w:cs="Arial"/>
          <w:kern w:val="2"/>
          <w:sz w:val="20"/>
          <w:szCs w:val="20"/>
          <w:lang w:eastAsia="zh-CN"/>
        </w:rPr>
        <w:t xml:space="preserve">, D1, D2, </w:t>
      </w:r>
      <w:r w:rsidR="00EC65B9">
        <w:rPr>
          <w:rFonts w:ascii="Arial" w:eastAsia="SimSun" w:hAnsi="Arial" w:cs="Arial"/>
          <w:kern w:val="2"/>
          <w:sz w:val="20"/>
          <w:szCs w:val="20"/>
          <w:lang w:eastAsia="zh-CN"/>
        </w:rPr>
        <w:t xml:space="preserve">and </w:t>
      </w:r>
      <w:r w:rsidRPr="0053619F">
        <w:rPr>
          <w:rFonts w:ascii="Arial" w:eastAsia="SimSun" w:hAnsi="Arial" w:cs="Arial"/>
          <w:kern w:val="2"/>
          <w:sz w:val="20"/>
          <w:szCs w:val="20"/>
          <w:lang w:eastAsia="zh-CN"/>
        </w:rPr>
        <w:t xml:space="preserve">D3 </w:t>
      </w:r>
      <w:r w:rsidR="00EC65B9">
        <w:rPr>
          <w:rFonts w:ascii="Arial" w:eastAsia="SimSun" w:hAnsi="Arial" w:cs="Arial"/>
          <w:kern w:val="2"/>
          <w:sz w:val="20"/>
          <w:szCs w:val="20"/>
          <w:lang w:eastAsia="zh-CN"/>
        </w:rPr>
        <w:t>as defined in Fig. 21.</w:t>
      </w:r>
    </w:p>
    <w:p w:rsidR="003926B2" w:rsidRPr="004B6A1E" w:rsidRDefault="003926B2" w:rsidP="003926B2">
      <w:pPr>
        <w:keepNext/>
        <w:keepLines/>
        <w:pageBreakBefore/>
        <w:spacing w:after="120" w:line="240" w:lineRule="auto"/>
        <w:ind w:left="720" w:hanging="720"/>
        <w:outlineLvl w:val="0"/>
        <w:rPr>
          <w:rFonts w:ascii="Arial" w:eastAsia="Times New Roman" w:hAnsi="Arial" w:cs="Arial"/>
          <w:b/>
          <w:bCs/>
          <w:sz w:val="20"/>
          <w:szCs w:val="20"/>
        </w:rPr>
      </w:pPr>
      <w:r w:rsidRPr="004B6A1E">
        <w:rPr>
          <w:rFonts w:ascii="Arial" w:eastAsia="Times New Roman" w:hAnsi="Arial" w:cs="Arial"/>
          <w:b/>
          <w:bCs/>
          <w:sz w:val="20"/>
          <w:szCs w:val="20"/>
        </w:rPr>
        <w:lastRenderedPageBreak/>
        <w:t>References</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Atlas, D., K. R. Hardy, R. Wexler, and R. J. Boucher, 1963: On the origin of hurricane spiral bands. </w:t>
      </w:r>
      <w:r w:rsidRPr="004B6A1E">
        <w:rPr>
          <w:rFonts w:ascii="Arial" w:hAnsi="Arial" w:cs="Arial"/>
          <w:i/>
          <w:sz w:val="20"/>
          <w:szCs w:val="20"/>
        </w:rPr>
        <w:t xml:space="preserve">Geofis. Int., </w:t>
      </w:r>
      <w:r w:rsidRPr="004B6A1E">
        <w:rPr>
          <w:rFonts w:ascii="Arial" w:hAnsi="Arial" w:cs="Arial"/>
          <w:b/>
          <w:sz w:val="20"/>
          <w:szCs w:val="20"/>
        </w:rPr>
        <w:t xml:space="preserve">3, </w:t>
      </w:r>
      <w:r w:rsidRPr="004B6A1E">
        <w:rPr>
          <w:rFonts w:ascii="Arial" w:hAnsi="Arial" w:cs="Arial"/>
          <w:sz w:val="20"/>
          <w:szCs w:val="20"/>
        </w:rPr>
        <w:t>123-132.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Barlow, M., 2011: Influence of hurricane-related activity on North American extreme precipitation, </w:t>
      </w:r>
      <w:r w:rsidRPr="004B6A1E">
        <w:rPr>
          <w:rFonts w:ascii="Arial" w:hAnsi="Arial" w:cs="Arial"/>
          <w:i/>
          <w:sz w:val="20"/>
          <w:szCs w:val="20"/>
        </w:rPr>
        <w:t>Geophys. Res. Lett</w:t>
      </w:r>
      <w:r w:rsidRPr="004B6A1E">
        <w:rPr>
          <w:rFonts w:ascii="Arial" w:hAnsi="Arial" w:cs="Arial"/>
          <w:sz w:val="20"/>
          <w:szCs w:val="20"/>
        </w:rPr>
        <w:t xml:space="preserve">., </w:t>
      </w:r>
      <w:r w:rsidRPr="004B6A1E">
        <w:rPr>
          <w:rFonts w:ascii="Arial" w:hAnsi="Arial" w:cs="Arial"/>
          <w:b/>
          <w:sz w:val="20"/>
          <w:szCs w:val="20"/>
        </w:rPr>
        <w:t>38</w:t>
      </w:r>
      <w:r w:rsidRPr="004B6A1E">
        <w:rPr>
          <w:rFonts w:ascii="Arial" w:hAnsi="Arial" w:cs="Arial"/>
          <w:sz w:val="20"/>
          <w:szCs w:val="20"/>
        </w:rPr>
        <w:t>, L04705, doi:10.1029/2010GL046258.</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Bosart, L. F., J. M. Cordeira, T. J. Galarneau Jr., B. J. Moore, and H. M. Archambault, 2012: An analysis of multiple predecessor rain events ahead of Tropical Cyclones Ike and Lowell: 10–15 September 2008.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140,</w:t>
      </w:r>
      <w:r w:rsidRPr="004B6A1E">
        <w:rPr>
          <w:rFonts w:ascii="Arial" w:hAnsi="Arial" w:cs="Arial"/>
          <w:sz w:val="20"/>
          <w:szCs w:val="20"/>
        </w:rPr>
        <w:t xml:space="preserve"> 1081–1107.</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Byun, K.-Y., and T.-Y. Lee, 2012: Remote effects of tropical cyclones on heavy rainfall over the Korean peninsula—Statistical and composite analysis. </w:t>
      </w:r>
      <w:r w:rsidRPr="004B6A1E">
        <w:rPr>
          <w:rFonts w:ascii="Arial" w:hAnsi="Arial" w:cs="Arial"/>
          <w:i/>
          <w:sz w:val="20"/>
          <w:szCs w:val="20"/>
        </w:rPr>
        <w:t>Tellus,</w:t>
      </w:r>
      <w:r w:rsidRPr="004B6A1E">
        <w:rPr>
          <w:rFonts w:ascii="Arial" w:hAnsi="Arial" w:cs="Arial"/>
          <w:sz w:val="20"/>
          <w:szCs w:val="20"/>
        </w:rPr>
        <w:t xml:space="preserve"> </w:t>
      </w:r>
      <w:r w:rsidRPr="004B6A1E">
        <w:rPr>
          <w:rFonts w:ascii="Arial" w:hAnsi="Arial" w:cs="Arial"/>
          <w:b/>
          <w:sz w:val="20"/>
          <w:szCs w:val="20"/>
        </w:rPr>
        <w:t>64A,</w:t>
      </w:r>
      <w:r w:rsidRPr="004B6A1E">
        <w:rPr>
          <w:rFonts w:ascii="Arial" w:hAnsi="Arial" w:cs="Arial"/>
          <w:sz w:val="20"/>
          <w:szCs w:val="20"/>
        </w:rPr>
        <w:t xml:space="preserve"> 14983, doi:10.3402/tellusa.v64i0.14983.</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Cecil, D.J., 2007: Satellite-derived rain rates in vertically sheared tropical cyclones. </w:t>
      </w:r>
      <w:r w:rsidRPr="004B6A1E">
        <w:rPr>
          <w:rFonts w:ascii="Arial" w:hAnsi="Arial" w:cs="Arial"/>
          <w:i/>
          <w:sz w:val="20"/>
          <w:szCs w:val="20"/>
        </w:rPr>
        <w:t>Geophys. Res., Lett</w:t>
      </w:r>
      <w:r w:rsidRPr="004B6A1E">
        <w:rPr>
          <w:rFonts w:ascii="Arial" w:hAnsi="Arial" w:cs="Arial"/>
          <w:sz w:val="20"/>
          <w:szCs w:val="20"/>
        </w:rPr>
        <w:t xml:space="preserve">., </w:t>
      </w:r>
      <w:r w:rsidRPr="004B6A1E">
        <w:rPr>
          <w:rFonts w:ascii="Arial" w:hAnsi="Arial" w:cs="Arial"/>
          <w:b/>
          <w:sz w:val="20"/>
          <w:szCs w:val="20"/>
        </w:rPr>
        <w:t>34</w:t>
      </w:r>
      <w:r w:rsidRPr="004B6A1E">
        <w:rPr>
          <w:rFonts w:ascii="Arial" w:hAnsi="Arial" w:cs="Arial"/>
          <w:sz w:val="20"/>
          <w:szCs w:val="20"/>
        </w:rPr>
        <w:t>, L02811, doi:10.1029/2006GL027942.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Chen, B.-F., R. L. Elsberry, and C.-S. Lee, 2014a: Origin and maintenance of the long-lasting, outer mesoscale convective system in Typhoon Fengshen (2008). </w:t>
      </w:r>
      <w:r w:rsidRPr="004B6A1E">
        <w:rPr>
          <w:rFonts w:ascii="Arial" w:hAnsi="Arial" w:cs="Arial"/>
          <w:i/>
          <w:sz w:val="20"/>
          <w:szCs w:val="20"/>
        </w:rPr>
        <w:t>Mon. Wea. Rev.</w:t>
      </w:r>
      <w:r w:rsidRPr="004B6A1E">
        <w:rPr>
          <w:rFonts w:ascii="Arial" w:hAnsi="Arial" w:cs="Arial"/>
          <w:sz w:val="20"/>
          <w:szCs w:val="20"/>
        </w:rPr>
        <w:t>,</w:t>
      </w:r>
      <w:r w:rsidRPr="004B6A1E">
        <w:rPr>
          <w:rFonts w:ascii="Arial" w:hAnsi="Arial" w:cs="Arial"/>
          <w:b/>
          <w:sz w:val="20"/>
          <w:szCs w:val="20"/>
        </w:rPr>
        <w:t xml:space="preserve"> 142</w:t>
      </w:r>
      <w:r w:rsidRPr="004B6A1E">
        <w:rPr>
          <w:rFonts w:ascii="Arial" w:hAnsi="Arial" w:cs="Arial"/>
          <w:sz w:val="20"/>
          <w:szCs w:val="20"/>
        </w:rPr>
        <w:t>, 2838-2859.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Chen, B.-F., C.-S. Lee, and R. L. Elsberry, 2014b: On tropical cyclone size and intensity changes associated with two types of long-lasting rainbands in monsoonal environments. </w:t>
      </w:r>
      <w:r w:rsidRPr="004B6A1E">
        <w:rPr>
          <w:rFonts w:ascii="Arial" w:hAnsi="Arial" w:cs="Arial"/>
          <w:i/>
          <w:sz w:val="20"/>
          <w:szCs w:val="20"/>
        </w:rPr>
        <w:t>Geophys. Res. Lett.</w:t>
      </w:r>
      <w:r w:rsidRPr="004B6A1E">
        <w:rPr>
          <w:rFonts w:ascii="Arial" w:hAnsi="Arial" w:cs="Arial"/>
          <w:sz w:val="20"/>
          <w:szCs w:val="20"/>
        </w:rPr>
        <w:t xml:space="preserve">, </w:t>
      </w:r>
      <w:r w:rsidRPr="004B6A1E">
        <w:rPr>
          <w:rFonts w:ascii="Arial" w:hAnsi="Arial" w:cs="Arial"/>
          <w:b/>
          <w:sz w:val="20"/>
          <w:szCs w:val="20"/>
        </w:rPr>
        <w:t>41</w:t>
      </w:r>
      <w:r w:rsidRPr="004B6A1E">
        <w:rPr>
          <w:rFonts w:ascii="Arial" w:hAnsi="Arial" w:cs="Arial"/>
          <w:sz w:val="20"/>
          <w:szCs w:val="20"/>
        </w:rPr>
        <w:t>, 2575–2581.</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Chen, S.S., J.A. Knaff, and F.D. Marks Jr., 2006: Effects of vertical wind shear and storm motion on tropical cyclone rainfall asymmetries deduced from TRMM.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134</w:t>
      </w:r>
      <w:r w:rsidRPr="004B6A1E">
        <w:rPr>
          <w:rFonts w:ascii="Arial" w:hAnsi="Arial" w:cs="Arial"/>
          <w:sz w:val="20"/>
          <w:szCs w:val="20"/>
        </w:rPr>
        <w:t>, 3190-3208.</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Cheng Z., L. Chen, Y. Liu, and T. Peng, 2007: The spatial and temporal characteristics of tropical cyclone-induced rainfall in China during 1960-2003. </w:t>
      </w:r>
      <w:r w:rsidRPr="004B6A1E">
        <w:rPr>
          <w:rFonts w:ascii="Arial" w:hAnsi="Arial" w:cs="Arial"/>
          <w:i/>
          <w:sz w:val="20"/>
          <w:szCs w:val="20"/>
        </w:rPr>
        <w:t>J Appl. Meteor. Sci.</w:t>
      </w:r>
      <w:r w:rsidRPr="004B6A1E">
        <w:rPr>
          <w:rFonts w:ascii="Arial" w:hAnsi="Arial" w:cs="Arial"/>
          <w:sz w:val="20"/>
          <w:szCs w:val="20"/>
        </w:rPr>
        <w:t xml:space="preserve">, 18, 427-434 (in </w:t>
      </w:r>
      <w:bookmarkStart w:id="0" w:name="_GoBack"/>
      <w:bookmarkEnd w:id="0"/>
      <w:r w:rsidRPr="004B6A1E">
        <w:rPr>
          <w:rFonts w:ascii="Arial" w:hAnsi="Arial" w:cs="Arial"/>
          <w:sz w:val="20"/>
          <w:szCs w:val="20"/>
        </w:rPr>
        <w:t>Chinese).</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Chien, F.-C., and H.-C. Kuo, 2011: On the extreme rainfall of Typhoon Morakot (2009). </w:t>
      </w:r>
      <w:r w:rsidRPr="004B6A1E">
        <w:rPr>
          <w:rFonts w:ascii="Arial" w:hAnsi="Arial" w:cs="Arial"/>
          <w:i/>
          <w:sz w:val="20"/>
          <w:szCs w:val="20"/>
        </w:rPr>
        <w:t>J. Geophys. Res.</w:t>
      </w:r>
      <w:r w:rsidRPr="004B6A1E">
        <w:rPr>
          <w:rFonts w:ascii="Arial" w:hAnsi="Arial" w:cs="Arial"/>
          <w:sz w:val="20"/>
          <w:szCs w:val="20"/>
        </w:rPr>
        <w:t xml:space="preserve">, </w:t>
      </w:r>
      <w:r w:rsidRPr="004B6A1E">
        <w:rPr>
          <w:rFonts w:ascii="Arial" w:hAnsi="Arial" w:cs="Arial"/>
          <w:b/>
          <w:sz w:val="20"/>
          <w:szCs w:val="20"/>
        </w:rPr>
        <w:t>116</w:t>
      </w:r>
      <w:r w:rsidRPr="004B6A1E">
        <w:rPr>
          <w:rFonts w:ascii="Arial" w:hAnsi="Arial" w:cs="Arial"/>
          <w:sz w:val="20"/>
          <w:szCs w:val="20"/>
        </w:rPr>
        <w:t>, D05104.</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Cong C.H., L.S. Chen, X.T. Lei, Y. Li, 2012: A study on the mechanism of the tropical cyclone remote precipitation. </w:t>
      </w:r>
      <w:r w:rsidRPr="004B6A1E">
        <w:rPr>
          <w:rFonts w:ascii="Arial" w:hAnsi="Arial" w:cs="Arial"/>
          <w:i/>
          <w:sz w:val="20"/>
          <w:szCs w:val="20"/>
        </w:rPr>
        <w:t>Acta Meteorologica Sinica</w:t>
      </w:r>
      <w:r w:rsidRPr="004B6A1E">
        <w:rPr>
          <w:rFonts w:ascii="Arial" w:hAnsi="Arial" w:cs="Arial"/>
          <w:sz w:val="20"/>
          <w:szCs w:val="20"/>
        </w:rPr>
        <w:t xml:space="preserve">, </w:t>
      </w:r>
      <w:r w:rsidRPr="004B6A1E">
        <w:rPr>
          <w:rFonts w:ascii="Arial" w:hAnsi="Arial" w:cs="Arial"/>
          <w:b/>
          <w:sz w:val="20"/>
          <w:szCs w:val="20"/>
        </w:rPr>
        <w:t>70</w:t>
      </w:r>
      <w:r w:rsidRPr="004B6A1E">
        <w:rPr>
          <w:rFonts w:ascii="Arial" w:hAnsi="Arial" w:cs="Arial"/>
          <w:sz w:val="20"/>
          <w:szCs w:val="20"/>
        </w:rPr>
        <w:t>(4), 717-727.</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Corbosiero, K. L., and J. Molinari, 2002: The effects of vertical wind shear on the distribution of convection in tropical cyclones. </w:t>
      </w:r>
      <w:r w:rsidRPr="004B6A1E">
        <w:rPr>
          <w:rFonts w:ascii="Arial" w:hAnsi="Arial" w:cs="Arial"/>
          <w:i/>
          <w:sz w:val="20"/>
          <w:szCs w:val="20"/>
        </w:rPr>
        <w:t xml:space="preserve">Mon. Wea. Rev., </w:t>
      </w:r>
      <w:r w:rsidRPr="004B6A1E">
        <w:rPr>
          <w:rFonts w:ascii="Arial" w:hAnsi="Arial" w:cs="Arial"/>
          <w:b/>
          <w:sz w:val="20"/>
          <w:szCs w:val="20"/>
        </w:rPr>
        <w:t xml:space="preserve">130, </w:t>
      </w:r>
      <w:r w:rsidRPr="004B6A1E">
        <w:rPr>
          <w:rFonts w:ascii="Arial" w:hAnsi="Arial" w:cs="Arial"/>
          <w:sz w:val="20"/>
          <w:szCs w:val="20"/>
        </w:rPr>
        <w:t>2110-2123.</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Corbosiero, K. L., M. J. Dickinson, and L. F. Bosart, 2009: The contribution of eastern North Pacific tropical cyclones to the rainfall climatology of the southwest United States.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 xml:space="preserve">137, </w:t>
      </w:r>
      <w:r w:rsidRPr="004B6A1E">
        <w:rPr>
          <w:rFonts w:ascii="Arial" w:hAnsi="Arial" w:cs="Arial"/>
          <w:sz w:val="20"/>
          <w:szCs w:val="20"/>
        </w:rPr>
        <w:t>2415–2435.</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Cordeira, J. M., F. M. Ralph, and B. J. Moore, 2013: The development and evolution of two atmospheric rivers in proximity to western North Pacific tropical cyclones in October 2010.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141,</w:t>
      </w:r>
      <w:r w:rsidRPr="004B6A1E">
        <w:rPr>
          <w:rFonts w:ascii="Arial" w:hAnsi="Arial" w:cs="Arial"/>
          <w:sz w:val="20"/>
          <w:szCs w:val="20"/>
        </w:rPr>
        <w:t xml:space="preserve"> 4234–4255.</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Cote, M. R., 2007: Predecessor rain events in advance of tropical cyclones. M.S. thesis, Department of Earth and Atmospheric Sciences, University at Albany, State University of New York, 200 pp.</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Czajkowski, J., K. Simmons, and D. Sutter, 2011:  An analysis of coastal and inland fatalities in landfalling US hurricanes, </w:t>
      </w:r>
      <w:r w:rsidRPr="004B6A1E">
        <w:rPr>
          <w:rFonts w:ascii="Arial" w:hAnsi="Arial" w:cs="Arial"/>
          <w:i/>
          <w:sz w:val="20"/>
          <w:szCs w:val="20"/>
        </w:rPr>
        <w:t>Natural Hazards</w:t>
      </w:r>
      <w:r w:rsidRPr="004B6A1E">
        <w:rPr>
          <w:rFonts w:ascii="Arial" w:hAnsi="Arial" w:cs="Arial"/>
          <w:sz w:val="20"/>
          <w:szCs w:val="20"/>
        </w:rPr>
        <w:t xml:space="preserve">, </w:t>
      </w:r>
      <w:r w:rsidRPr="004B6A1E">
        <w:rPr>
          <w:rFonts w:ascii="Arial" w:hAnsi="Arial" w:cs="Arial"/>
          <w:b/>
          <w:sz w:val="20"/>
          <w:szCs w:val="20"/>
        </w:rPr>
        <w:t>59</w:t>
      </w:r>
      <w:r w:rsidRPr="004B6A1E">
        <w:rPr>
          <w:rFonts w:ascii="Arial" w:hAnsi="Arial" w:cs="Arial"/>
          <w:sz w:val="20"/>
          <w:szCs w:val="20"/>
        </w:rPr>
        <w:t>, 1513-1531.</w:t>
      </w:r>
    </w:p>
    <w:p w:rsidR="003926B2" w:rsidRPr="004B6A1E" w:rsidRDefault="003926B2" w:rsidP="003926B2">
      <w:pPr>
        <w:spacing w:after="120" w:line="240" w:lineRule="auto"/>
        <w:ind w:left="720" w:hanging="720"/>
        <w:rPr>
          <w:rStyle w:val="nlmstring-name"/>
          <w:rFonts w:ascii="Arial" w:hAnsi="Arial" w:cs="Arial"/>
          <w:sz w:val="20"/>
          <w:szCs w:val="20"/>
        </w:rPr>
      </w:pPr>
      <w:r w:rsidRPr="004B6A1E">
        <w:rPr>
          <w:rStyle w:val="nlmstring-name"/>
          <w:rFonts w:ascii="Arial" w:hAnsi="Arial" w:cs="Arial"/>
          <w:sz w:val="20"/>
          <w:szCs w:val="20"/>
        </w:rPr>
        <w:t xml:space="preserve">Czajkowski, J., G. Villarini, E. Michel-Kerjan, and J.A. Smith, 2013:  Determining tropical cyclone inland flooding loss on a large scale through a new flood peak ratio-based methodology.  </w:t>
      </w:r>
      <w:r w:rsidRPr="004B6A1E">
        <w:rPr>
          <w:rStyle w:val="nlmstring-name"/>
          <w:rFonts w:ascii="Arial" w:hAnsi="Arial" w:cs="Arial"/>
          <w:i/>
          <w:sz w:val="20"/>
          <w:szCs w:val="20"/>
        </w:rPr>
        <w:t>Environ. Res. Lett.,</w:t>
      </w:r>
      <w:r w:rsidRPr="004B6A1E">
        <w:rPr>
          <w:rStyle w:val="nlmstring-name"/>
          <w:rFonts w:ascii="Arial" w:hAnsi="Arial" w:cs="Arial"/>
          <w:sz w:val="20"/>
          <w:szCs w:val="20"/>
        </w:rPr>
        <w:t xml:space="preserve"> </w:t>
      </w:r>
      <w:r w:rsidRPr="004B6A1E">
        <w:rPr>
          <w:rStyle w:val="nlmstring-name"/>
          <w:rFonts w:ascii="Arial" w:hAnsi="Arial" w:cs="Arial"/>
          <w:b/>
          <w:sz w:val="20"/>
          <w:szCs w:val="20"/>
        </w:rPr>
        <w:t>8</w:t>
      </w:r>
      <w:r w:rsidRPr="004B6A1E">
        <w:rPr>
          <w:rStyle w:val="nlmstring-name"/>
          <w:rFonts w:ascii="Arial" w:hAnsi="Arial" w:cs="Arial"/>
          <w:sz w:val="20"/>
          <w:szCs w:val="20"/>
        </w:rPr>
        <w:t>(2013) 044056 (7pp). doi:10.1088/1748-9326/8/4/044056</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Dare, R.A., 2013: Seasonal tropical cyclone rain volumes over Australia. </w:t>
      </w:r>
      <w:r w:rsidRPr="004B6A1E">
        <w:rPr>
          <w:rFonts w:ascii="Arial" w:hAnsi="Arial" w:cs="Arial"/>
          <w:i/>
          <w:sz w:val="20"/>
          <w:szCs w:val="20"/>
          <w:lang w:val="en-AU"/>
        </w:rPr>
        <w:t>J. Climate</w:t>
      </w:r>
      <w:r w:rsidRPr="004B6A1E">
        <w:rPr>
          <w:rFonts w:ascii="Arial" w:hAnsi="Arial" w:cs="Arial"/>
          <w:sz w:val="20"/>
          <w:szCs w:val="20"/>
          <w:lang w:val="en-AU"/>
        </w:rPr>
        <w:t xml:space="preserve">, </w:t>
      </w:r>
      <w:r w:rsidRPr="004B6A1E">
        <w:rPr>
          <w:rFonts w:ascii="Arial" w:hAnsi="Arial" w:cs="Arial"/>
          <w:b/>
          <w:sz w:val="20"/>
          <w:szCs w:val="20"/>
          <w:lang w:val="en-AU"/>
        </w:rPr>
        <w:t>26</w:t>
      </w:r>
      <w:r w:rsidRPr="004B6A1E">
        <w:rPr>
          <w:rFonts w:ascii="Arial" w:hAnsi="Arial" w:cs="Arial"/>
          <w:sz w:val="20"/>
          <w:szCs w:val="20"/>
          <w:lang w:val="en-AU"/>
        </w:rPr>
        <w:t>, 5958-5964.</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Dare, R.A, and N.E. Davi</w:t>
      </w:r>
      <w:r w:rsidR="00FE4C29">
        <w:rPr>
          <w:rFonts w:ascii="Arial" w:hAnsi="Arial" w:cs="Arial"/>
          <w:sz w:val="20"/>
          <w:szCs w:val="20"/>
          <w:lang w:val="en-AU"/>
        </w:rPr>
        <w:t>dson, 2004: Characteristics of tropical c</w:t>
      </w:r>
      <w:r w:rsidRPr="004B6A1E">
        <w:rPr>
          <w:rFonts w:ascii="Arial" w:hAnsi="Arial" w:cs="Arial"/>
          <w:sz w:val="20"/>
          <w:szCs w:val="20"/>
          <w:lang w:val="en-AU"/>
        </w:rPr>
        <w:t xml:space="preserve">yclones in the Australian Region. </w:t>
      </w:r>
      <w:r w:rsidRPr="004B6A1E">
        <w:rPr>
          <w:rFonts w:ascii="Arial" w:hAnsi="Arial" w:cs="Arial"/>
          <w:i/>
          <w:sz w:val="20"/>
          <w:szCs w:val="20"/>
          <w:lang w:val="en-AU"/>
        </w:rPr>
        <w:t>Mon. Wea. Rev</w:t>
      </w:r>
      <w:r w:rsidRPr="004B6A1E">
        <w:rPr>
          <w:rFonts w:ascii="Arial" w:hAnsi="Arial" w:cs="Arial"/>
          <w:sz w:val="20"/>
          <w:szCs w:val="20"/>
          <w:lang w:val="en-AU"/>
        </w:rPr>
        <w:t xml:space="preserve">., </w:t>
      </w:r>
      <w:r w:rsidRPr="004B6A1E">
        <w:rPr>
          <w:rFonts w:ascii="Arial" w:hAnsi="Arial" w:cs="Arial"/>
          <w:b/>
          <w:sz w:val="20"/>
          <w:szCs w:val="20"/>
          <w:lang w:val="en-AU"/>
        </w:rPr>
        <w:t>132</w:t>
      </w:r>
      <w:r w:rsidRPr="004B6A1E">
        <w:rPr>
          <w:rFonts w:ascii="Arial" w:hAnsi="Arial" w:cs="Arial"/>
          <w:sz w:val="20"/>
          <w:szCs w:val="20"/>
          <w:lang w:val="en-AU"/>
        </w:rPr>
        <w:t>, 3049-3065.</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lastRenderedPageBreak/>
        <w:t>Dare, R.A., N.E. Davidson, an</w:t>
      </w:r>
      <w:r w:rsidR="00FE4C29">
        <w:rPr>
          <w:rFonts w:ascii="Arial" w:hAnsi="Arial" w:cs="Arial"/>
          <w:sz w:val="20"/>
          <w:szCs w:val="20"/>
          <w:lang w:val="en-AU"/>
        </w:rPr>
        <w:t>d J.L. McBride, 2012: Tropical cyclone contribution to r</w:t>
      </w:r>
      <w:r w:rsidRPr="004B6A1E">
        <w:rPr>
          <w:rFonts w:ascii="Arial" w:hAnsi="Arial" w:cs="Arial"/>
          <w:sz w:val="20"/>
          <w:szCs w:val="20"/>
          <w:lang w:val="en-AU"/>
        </w:rPr>
        <w:t xml:space="preserve">ainfall over Australia. </w:t>
      </w:r>
      <w:r w:rsidRPr="004B6A1E">
        <w:rPr>
          <w:rFonts w:ascii="Arial" w:hAnsi="Arial" w:cs="Arial"/>
          <w:i/>
          <w:sz w:val="20"/>
          <w:szCs w:val="20"/>
          <w:lang w:val="en-AU"/>
        </w:rPr>
        <w:t>Mon. Wea. Rev</w:t>
      </w:r>
      <w:r w:rsidRPr="004B6A1E">
        <w:rPr>
          <w:rFonts w:ascii="Arial" w:hAnsi="Arial" w:cs="Arial"/>
          <w:sz w:val="20"/>
          <w:szCs w:val="20"/>
          <w:lang w:val="en-AU"/>
        </w:rPr>
        <w:t xml:space="preserve">., </w:t>
      </w:r>
      <w:r w:rsidRPr="004B6A1E">
        <w:rPr>
          <w:rFonts w:ascii="Arial" w:hAnsi="Arial" w:cs="Arial"/>
          <w:b/>
          <w:sz w:val="20"/>
          <w:szCs w:val="20"/>
          <w:lang w:val="en-AU"/>
        </w:rPr>
        <w:t>140</w:t>
      </w:r>
      <w:r w:rsidRPr="004B6A1E">
        <w:rPr>
          <w:rFonts w:ascii="Arial" w:hAnsi="Arial" w:cs="Arial"/>
          <w:sz w:val="20"/>
          <w:szCs w:val="20"/>
          <w:lang w:val="en-AU"/>
        </w:rPr>
        <w:t>, 3606-3619.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DeHart, J.C., R.A. Houze, Jr., and R.F. Rogers, 2014: Quadrant distribution of tropical cyclone inner-core kinematics in relation to environmental shear. </w:t>
      </w:r>
      <w:r w:rsidRPr="004B6A1E">
        <w:rPr>
          <w:rFonts w:ascii="Arial" w:hAnsi="Arial" w:cs="Arial"/>
          <w:i/>
          <w:sz w:val="20"/>
          <w:szCs w:val="20"/>
        </w:rPr>
        <w:t>J. Atmos. Sci</w:t>
      </w:r>
      <w:r w:rsidRPr="004B6A1E">
        <w:rPr>
          <w:rFonts w:ascii="Arial" w:hAnsi="Arial" w:cs="Arial"/>
          <w:sz w:val="20"/>
          <w:szCs w:val="20"/>
        </w:rPr>
        <w:t xml:space="preserve">., </w:t>
      </w:r>
      <w:r w:rsidRPr="004B6A1E">
        <w:rPr>
          <w:rFonts w:ascii="Arial" w:hAnsi="Arial" w:cs="Arial"/>
          <w:b/>
          <w:sz w:val="20"/>
          <w:szCs w:val="20"/>
        </w:rPr>
        <w:t>71</w:t>
      </w:r>
      <w:r w:rsidRPr="004B6A1E">
        <w:rPr>
          <w:rFonts w:ascii="Arial" w:hAnsi="Arial" w:cs="Arial"/>
          <w:sz w:val="20"/>
          <w:szCs w:val="20"/>
        </w:rPr>
        <w:t>, 2713-2732.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DeMaria, M. 1996: The effect of vertical shear on tropical cyclone intensity change. </w:t>
      </w:r>
      <w:r w:rsidRPr="004B6A1E">
        <w:rPr>
          <w:rFonts w:ascii="Arial" w:hAnsi="Arial" w:cs="Arial"/>
          <w:i/>
          <w:sz w:val="20"/>
          <w:szCs w:val="20"/>
        </w:rPr>
        <w:t>J. Atmos. Sci</w:t>
      </w:r>
      <w:r w:rsidRPr="004B6A1E">
        <w:rPr>
          <w:rFonts w:ascii="Arial" w:hAnsi="Arial" w:cs="Arial"/>
          <w:sz w:val="20"/>
          <w:szCs w:val="20"/>
        </w:rPr>
        <w:t xml:space="preserve">., </w:t>
      </w:r>
      <w:r w:rsidRPr="004B6A1E">
        <w:rPr>
          <w:rFonts w:ascii="Arial" w:hAnsi="Arial" w:cs="Arial"/>
          <w:b/>
          <w:sz w:val="20"/>
          <w:szCs w:val="20"/>
        </w:rPr>
        <w:t>53</w:t>
      </w:r>
      <w:r w:rsidRPr="004B6A1E">
        <w:rPr>
          <w:rFonts w:ascii="Arial" w:hAnsi="Arial" w:cs="Arial"/>
          <w:sz w:val="20"/>
          <w:szCs w:val="20"/>
        </w:rPr>
        <w:t>, 2076-2088.</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Didlake, A. C., Jr., and R. A. Houze Jr., 2009: Convective-scale downdrafts in the principal rainband of Hurricane Katrina (2005). </w:t>
      </w:r>
      <w:r w:rsidRPr="004B6A1E">
        <w:rPr>
          <w:rFonts w:ascii="Arial" w:hAnsi="Arial" w:cs="Arial"/>
          <w:i/>
          <w:sz w:val="20"/>
          <w:szCs w:val="20"/>
        </w:rPr>
        <w:t xml:space="preserve">Mon. Wea. Rev., </w:t>
      </w:r>
      <w:r w:rsidRPr="004B6A1E">
        <w:rPr>
          <w:rFonts w:ascii="Arial" w:hAnsi="Arial" w:cs="Arial"/>
          <w:b/>
          <w:sz w:val="20"/>
          <w:szCs w:val="20"/>
        </w:rPr>
        <w:t xml:space="preserve">137, </w:t>
      </w:r>
      <w:r w:rsidRPr="004B6A1E">
        <w:rPr>
          <w:rFonts w:ascii="Arial" w:hAnsi="Arial" w:cs="Arial"/>
          <w:sz w:val="20"/>
          <w:szCs w:val="20"/>
        </w:rPr>
        <w:t>3269-3293.</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Didlake, A. C., Jr., and R. A. Houze Jr., 2013a: Convective-scale variations in the inner-core rainbands of tropical cyclones. </w:t>
      </w:r>
      <w:r w:rsidRPr="004B6A1E">
        <w:rPr>
          <w:rFonts w:ascii="Arial" w:hAnsi="Arial" w:cs="Arial"/>
          <w:i/>
          <w:sz w:val="20"/>
          <w:szCs w:val="20"/>
        </w:rPr>
        <w:t>J. Atmos. Sci.,</w:t>
      </w:r>
      <w:r w:rsidRPr="004B6A1E">
        <w:rPr>
          <w:rFonts w:ascii="Arial" w:hAnsi="Arial" w:cs="Arial"/>
          <w:b/>
          <w:sz w:val="20"/>
          <w:szCs w:val="20"/>
        </w:rPr>
        <w:t xml:space="preserve"> 70, </w:t>
      </w:r>
      <w:r w:rsidRPr="004B6A1E">
        <w:rPr>
          <w:rFonts w:ascii="Arial" w:hAnsi="Arial" w:cs="Arial"/>
          <w:sz w:val="20"/>
          <w:szCs w:val="20"/>
        </w:rPr>
        <w:t>504-523.</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Didlake, A. C., Jr., and R. A. Houze Jr., 2013b: Dynamics of the stratiform sector of a tropical cyclone rainband. </w:t>
      </w:r>
      <w:r w:rsidRPr="004B6A1E">
        <w:rPr>
          <w:rFonts w:ascii="Arial" w:hAnsi="Arial" w:cs="Arial"/>
          <w:i/>
          <w:sz w:val="20"/>
          <w:szCs w:val="20"/>
        </w:rPr>
        <w:t>J. Atmos. Sci.,</w:t>
      </w:r>
      <w:r w:rsidRPr="004B6A1E">
        <w:rPr>
          <w:rFonts w:ascii="Arial" w:hAnsi="Arial" w:cs="Arial"/>
          <w:sz w:val="20"/>
          <w:szCs w:val="20"/>
        </w:rPr>
        <w:t xml:space="preserve"> </w:t>
      </w:r>
      <w:r w:rsidRPr="004B6A1E">
        <w:rPr>
          <w:rFonts w:ascii="Arial" w:hAnsi="Arial" w:cs="Arial"/>
          <w:b/>
          <w:sz w:val="20"/>
          <w:szCs w:val="20"/>
        </w:rPr>
        <w:t>70,</w:t>
      </w:r>
      <w:r w:rsidRPr="004B6A1E">
        <w:rPr>
          <w:rFonts w:ascii="Arial" w:hAnsi="Arial" w:cs="Arial"/>
          <w:sz w:val="20"/>
          <w:szCs w:val="20"/>
        </w:rPr>
        <w:t xml:space="preserve"> 1891-1911.</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Dong, M. Y., L. S. Chen, Y. Li, C. G. Lu, 2010:</w:t>
      </w:r>
      <w:bookmarkStart w:id="1" w:name="OLE_LINK20"/>
      <w:bookmarkStart w:id="2" w:name="OLE_LINK21"/>
      <w:r w:rsidRPr="004B6A1E">
        <w:rPr>
          <w:rFonts w:ascii="Arial" w:hAnsi="Arial" w:cs="Arial"/>
          <w:sz w:val="20"/>
          <w:szCs w:val="20"/>
        </w:rPr>
        <w:t xml:space="preserve"> Rainfall reinforcement associated with landfalling tropical cyclones</w:t>
      </w:r>
      <w:bookmarkEnd w:id="1"/>
      <w:bookmarkEnd w:id="2"/>
      <w:r w:rsidRPr="004B6A1E">
        <w:rPr>
          <w:rFonts w:ascii="Arial" w:hAnsi="Arial" w:cs="Arial"/>
          <w:sz w:val="20"/>
          <w:szCs w:val="20"/>
        </w:rPr>
        <w:t>.</w:t>
      </w:r>
      <w:r w:rsidRPr="004B6A1E">
        <w:rPr>
          <w:rFonts w:ascii="Arial" w:hAnsi="Arial" w:cs="Arial"/>
          <w:i/>
          <w:sz w:val="20"/>
          <w:szCs w:val="20"/>
        </w:rPr>
        <w:t xml:space="preserve"> J. Atmos. Sci.</w:t>
      </w:r>
      <w:r w:rsidRPr="004B6A1E">
        <w:rPr>
          <w:rFonts w:ascii="Arial" w:hAnsi="Arial" w:cs="Arial"/>
          <w:sz w:val="20"/>
          <w:szCs w:val="20"/>
        </w:rPr>
        <w:t xml:space="preserve">, </w:t>
      </w:r>
      <w:r w:rsidRPr="004B6A1E">
        <w:rPr>
          <w:rFonts w:ascii="Arial" w:hAnsi="Arial" w:cs="Arial"/>
          <w:b/>
          <w:sz w:val="20"/>
          <w:szCs w:val="20"/>
        </w:rPr>
        <w:t>67</w:t>
      </w:r>
      <w:r w:rsidRPr="004B6A1E">
        <w:rPr>
          <w:rFonts w:ascii="Arial" w:hAnsi="Arial" w:cs="Arial"/>
          <w:sz w:val="20"/>
          <w:szCs w:val="20"/>
        </w:rPr>
        <w:t>(11), 3541–3558.</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Foley, G. R., and B. N. Hanstrum, 1994: The capture of tropical cyclones by cold fronts off the west coast of Australia. </w:t>
      </w:r>
      <w:r w:rsidRPr="004B6A1E">
        <w:rPr>
          <w:rFonts w:ascii="Arial" w:hAnsi="Arial" w:cs="Arial"/>
          <w:i/>
          <w:iCs/>
          <w:sz w:val="20"/>
          <w:szCs w:val="20"/>
          <w:lang w:val="en-AU"/>
        </w:rPr>
        <w:t xml:space="preserve">Wea.Forecasting, </w:t>
      </w:r>
      <w:r w:rsidRPr="004B6A1E">
        <w:rPr>
          <w:rFonts w:ascii="Arial" w:hAnsi="Arial" w:cs="Arial"/>
          <w:b/>
          <w:bCs/>
          <w:sz w:val="20"/>
          <w:szCs w:val="20"/>
          <w:lang w:val="en-AU"/>
        </w:rPr>
        <w:t xml:space="preserve">9, </w:t>
      </w:r>
      <w:r w:rsidRPr="004B6A1E">
        <w:rPr>
          <w:rFonts w:ascii="Arial" w:hAnsi="Arial" w:cs="Arial"/>
          <w:sz w:val="20"/>
          <w:szCs w:val="20"/>
          <w:lang w:val="en-AU"/>
        </w:rPr>
        <w:t>577–592.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Frank, W.M. and E.A. Ritchie, 1999: Effects of environmental flow upon tropical cyclone structure.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127</w:t>
      </w:r>
      <w:r w:rsidRPr="004B6A1E">
        <w:rPr>
          <w:rFonts w:ascii="Arial" w:hAnsi="Arial" w:cs="Arial"/>
          <w:sz w:val="20"/>
          <w:szCs w:val="20"/>
        </w:rPr>
        <w:t>, 2044-2061.</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Frank, W.M., and E.A. Ritchie, 2001: Effects of vertical wind shear on the intensity and structure of numerically simulated hurricanes.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129</w:t>
      </w:r>
      <w:r w:rsidRPr="004B6A1E">
        <w:rPr>
          <w:rFonts w:ascii="Arial" w:hAnsi="Arial" w:cs="Arial"/>
          <w:sz w:val="20"/>
          <w:szCs w:val="20"/>
        </w:rPr>
        <w:t>, 2249-2269.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Galarneau, T.J., L.F. Bosart, and R.S. Schumacher, 2010: Predecessor rain events ahead of tropical cyclones,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138</w:t>
      </w:r>
      <w:r w:rsidRPr="004B6A1E">
        <w:rPr>
          <w:rFonts w:ascii="Arial" w:hAnsi="Arial" w:cs="Arial"/>
          <w:sz w:val="20"/>
          <w:szCs w:val="20"/>
        </w:rPr>
        <w:t>, 3272-3297.</w:t>
      </w:r>
    </w:p>
    <w:p w:rsidR="000A362D" w:rsidRPr="004B6A1E" w:rsidRDefault="000A362D" w:rsidP="003926B2">
      <w:pPr>
        <w:spacing w:after="120" w:line="240" w:lineRule="auto"/>
        <w:ind w:left="720" w:hanging="720"/>
        <w:rPr>
          <w:rFonts w:ascii="Arial" w:hAnsi="Arial" w:cs="Arial"/>
          <w:sz w:val="20"/>
          <w:szCs w:val="20"/>
        </w:rPr>
      </w:pPr>
      <w:r>
        <w:t xml:space="preserve">Gao S., Z. Meng, F. Zhang, and L. F. Bosart, 2009: Observational Analysis of Heavy Rainfall Mechanisms Associated with Severe Tropical Storm Bilis (2006) after Its Landfall. </w:t>
      </w:r>
      <w:r>
        <w:rPr>
          <w:i/>
          <w:iCs/>
        </w:rPr>
        <w:t>Mon. Wea. Rev.</w:t>
      </w:r>
      <w:r>
        <w:t xml:space="preserve">, </w:t>
      </w:r>
      <w:r>
        <w:rPr>
          <w:b/>
          <w:bCs/>
        </w:rPr>
        <w:t>137</w:t>
      </w:r>
      <w:r>
        <w:t>, 1881–1897.</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Groisman, P.Y., R.W. Knight, T.R. Karl, D.R. Easterling, B. Sun, and J.H. Lawrimore, 2004:  Contemporary changes of the hydrological cycle over the contiguous United States: Trends derived from in situ observations, </w:t>
      </w:r>
      <w:r w:rsidRPr="004B6A1E">
        <w:rPr>
          <w:rFonts w:ascii="Arial" w:hAnsi="Arial" w:cs="Arial"/>
          <w:i/>
          <w:sz w:val="20"/>
          <w:szCs w:val="20"/>
        </w:rPr>
        <w:t>J. Hydrometeor.</w:t>
      </w:r>
      <w:r w:rsidRPr="004B6A1E">
        <w:rPr>
          <w:rFonts w:ascii="Arial" w:hAnsi="Arial" w:cs="Arial"/>
          <w:sz w:val="20"/>
          <w:szCs w:val="20"/>
        </w:rPr>
        <w:t xml:space="preserve">, </w:t>
      </w:r>
      <w:r w:rsidRPr="004B6A1E">
        <w:rPr>
          <w:rFonts w:ascii="Arial" w:hAnsi="Arial" w:cs="Arial"/>
          <w:b/>
          <w:sz w:val="20"/>
          <w:szCs w:val="20"/>
        </w:rPr>
        <w:t>5</w:t>
      </w:r>
      <w:r w:rsidRPr="004B6A1E">
        <w:rPr>
          <w:rFonts w:ascii="Arial" w:hAnsi="Arial" w:cs="Arial"/>
          <w:sz w:val="20"/>
          <w:szCs w:val="20"/>
        </w:rPr>
        <w:t>, 64-85.</w:t>
      </w:r>
    </w:p>
    <w:p w:rsidR="000A362D" w:rsidRPr="004B6A1E" w:rsidRDefault="000A362D" w:rsidP="003926B2">
      <w:pPr>
        <w:spacing w:after="120" w:line="240" w:lineRule="auto"/>
        <w:ind w:left="720" w:hanging="720"/>
        <w:rPr>
          <w:rFonts w:ascii="Arial" w:hAnsi="Arial" w:cs="Arial"/>
          <w:sz w:val="20"/>
          <w:szCs w:val="20"/>
        </w:rPr>
      </w:pPr>
      <w:r>
        <w:t xml:space="preserve">Hall, J.D., M. Xue, L. Ran, and L. M. Leslie, 2013: High-Resolution Modeling of Typhoon Morakot (2009): Vortex Rossby Waves and Their Role in Extreme Precipitation over Taiwan. </w:t>
      </w:r>
      <w:r>
        <w:rPr>
          <w:i/>
          <w:iCs/>
        </w:rPr>
        <w:t>J. Atmos. Sci.</w:t>
      </w:r>
      <w:r>
        <w:t xml:space="preserve">, </w:t>
      </w:r>
      <w:r>
        <w:rPr>
          <w:b/>
          <w:bCs/>
        </w:rPr>
        <w:t>70</w:t>
      </w:r>
      <w:r>
        <w:t>, 163–186.</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Hellin, J., M. Haigh, and F. Marks, 1999: Rainfall characteristics of Hurricane Mitch, </w:t>
      </w:r>
      <w:r w:rsidRPr="004B6A1E">
        <w:rPr>
          <w:rFonts w:ascii="Arial" w:hAnsi="Arial" w:cs="Arial"/>
          <w:i/>
          <w:sz w:val="20"/>
          <w:szCs w:val="20"/>
        </w:rPr>
        <w:t>Nature</w:t>
      </w:r>
      <w:r w:rsidRPr="004B6A1E">
        <w:rPr>
          <w:rFonts w:ascii="Arial" w:hAnsi="Arial" w:cs="Arial"/>
          <w:sz w:val="20"/>
          <w:szCs w:val="20"/>
        </w:rPr>
        <w:t xml:space="preserve">, </w:t>
      </w:r>
      <w:r w:rsidRPr="004B6A1E">
        <w:rPr>
          <w:rFonts w:ascii="Arial" w:hAnsi="Arial" w:cs="Arial"/>
          <w:b/>
          <w:sz w:val="20"/>
          <w:szCs w:val="20"/>
        </w:rPr>
        <w:t>399</w:t>
      </w:r>
      <w:r w:rsidRPr="004B6A1E">
        <w:rPr>
          <w:rFonts w:ascii="Arial" w:hAnsi="Arial" w:cs="Arial"/>
          <w:sz w:val="20"/>
          <w:szCs w:val="20"/>
        </w:rPr>
        <w:t>, 316.</w:t>
      </w:r>
    </w:p>
    <w:p w:rsidR="003926B2" w:rsidRPr="004B6A1E" w:rsidRDefault="003926B2" w:rsidP="003926B2">
      <w:pPr>
        <w:spacing w:after="120" w:line="240" w:lineRule="auto"/>
        <w:ind w:left="720" w:hanging="720"/>
        <w:rPr>
          <w:rFonts w:ascii="Arial" w:hAnsi="Arial" w:cs="Arial"/>
          <w:sz w:val="20"/>
          <w:szCs w:val="20"/>
          <w:lang w:val="fr-CH"/>
        </w:rPr>
      </w:pPr>
      <w:r w:rsidRPr="004B6A1E">
        <w:rPr>
          <w:rFonts w:ascii="Arial" w:hAnsi="Arial" w:cs="Arial"/>
          <w:sz w:val="20"/>
          <w:szCs w:val="20"/>
        </w:rPr>
        <w:t xml:space="preserve">Hence, D. A., and R. A. Houze Jr., 2008: Kinematic structure of convective-scale elements in the rainbands of Hurricanes Katrina and Rita (2005). </w:t>
      </w:r>
      <w:r w:rsidRPr="004B6A1E">
        <w:rPr>
          <w:rFonts w:ascii="Arial" w:hAnsi="Arial" w:cs="Arial"/>
          <w:i/>
          <w:iCs/>
          <w:sz w:val="20"/>
          <w:szCs w:val="20"/>
          <w:lang w:val="fr-CH"/>
        </w:rPr>
        <w:t>J. Geophys. Res.,</w:t>
      </w:r>
      <w:r w:rsidRPr="004B6A1E">
        <w:rPr>
          <w:rFonts w:ascii="Arial" w:hAnsi="Arial" w:cs="Arial"/>
          <w:sz w:val="20"/>
          <w:szCs w:val="20"/>
          <w:lang w:val="fr-CH"/>
        </w:rPr>
        <w:t xml:space="preserve"> </w:t>
      </w:r>
      <w:r w:rsidRPr="004B6A1E">
        <w:rPr>
          <w:rFonts w:ascii="Arial" w:hAnsi="Arial" w:cs="Arial"/>
          <w:b/>
          <w:bCs/>
          <w:sz w:val="20"/>
          <w:szCs w:val="20"/>
          <w:lang w:val="fr-CH"/>
        </w:rPr>
        <w:t>113,</w:t>
      </w:r>
      <w:r w:rsidRPr="004B6A1E">
        <w:rPr>
          <w:rFonts w:ascii="Arial" w:hAnsi="Arial" w:cs="Arial"/>
          <w:sz w:val="20"/>
          <w:szCs w:val="20"/>
          <w:lang w:val="fr-CH"/>
        </w:rPr>
        <w:t xml:space="preserve"> D15108, doi:10.1029/2007JD009429.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Hence, D.A. and R.A. Houze Jr., 2011: Vertical structure of hurricane eyewalls as seen by TRMM Precipitation Radar</w:t>
      </w:r>
      <w:r w:rsidRPr="004B6A1E">
        <w:rPr>
          <w:rFonts w:ascii="Arial" w:hAnsi="Arial" w:cs="Arial"/>
          <w:i/>
          <w:sz w:val="20"/>
          <w:szCs w:val="20"/>
        </w:rPr>
        <w:t>. J. Atmos. Sci</w:t>
      </w:r>
      <w:r w:rsidRPr="004B6A1E">
        <w:rPr>
          <w:rFonts w:ascii="Arial" w:hAnsi="Arial" w:cs="Arial"/>
          <w:sz w:val="20"/>
          <w:szCs w:val="20"/>
        </w:rPr>
        <w:t xml:space="preserve">., </w:t>
      </w:r>
      <w:r w:rsidRPr="004B6A1E">
        <w:rPr>
          <w:rFonts w:ascii="Arial" w:hAnsi="Arial" w:cs="Arial"/>
          <w:b/>
          <w:sz w:val="20"/>
          <w:szCs w:val="20"/>
        </w:rPr>
        <w:t>68</w:t>
      </w:r>
      <w:r w:rsidRPr="004B6A1E">
        <w:rPr>
          <w:rFonts w:ascii="Arial" w:hAnsi="Arial" w:cs="Arial"/>
          <w:sz w:val="20"/>
          <w:szCs w:val="20"/>
        </w:rPr>
        <w:t>, 1637-1652.</w:t>
      </w:r>
    </w:p>
    <w:p w:rsidR="003926B2" w:rsidRPr="004B6A1E" w:rsidRDefault="003926B2" w:rsidP="003926B2">
      <w:pPr>
        <w:spacing w:after="120" w:line="240" w:lineRule="auto"/>
        <w:ind w:left="720" w:hanging="720"/>
        <w:rPr>
          <w:rFonts w:ascii="Arial" w:hAnsi="Arial" w:cs="Arial"/>
          <w:iCs/>
          <w:sz w:val="20"/>
          <w:szCs w:val="20"/>
          <w:lang w:val="fr-CH"/>
        </w:rPr>
      </w:pPr>
      <w:r w:rsidRPr="004B6A1E">
        <w:rPr>
          <w:rFonts w:ascii="Arial" w:hAnsi="Arial" w:cs="Arial"/>
          <w:sz w:val="20"/>
          <w:szCs w:val="20"/>
        </w:rPr>
        <w:t xml:space="preserve">Hence, D. A., and R. A. Houze Jr., 2012: Vertical structure of tropical cyclone rainbands as seen by the TRMM Precipitation Radar. </w:t>
      </w:r>
      <w:r w:rsidRPr="004B6A1E">
        <w:rPr>
          <w:rFonts w:ascii="Arial" w:hAnsi="Arial" w:cs="Arial"/>
          <w:i/>
          <w:iCs/>
          <w:sz w:val="20"/>
          <w:szCs w:val="20"/>
          <w:lang w:val="fr-CH"/>
        </w:rPr>
        <w:t xml:space="preserve">J. Atmos. Sci., </w:t>
      </w:r>
      <w:r w:rsidRPr="004B6A1E">
        <w:rPr>
          <w:rFonts w:ascii="Arial" w:hAnsi="Arial" w:cs="Arial"/>
          <w:b/>
          <w:iCs/>
          <w:sz w:val="20"/>
          <w:szCs w:val="20"/>
          <w:lang w:val="fr-CH"/>
        </w:rPr>
        <w:t xml:space="preserve">69, </w:t>
      </w:r>
      <w:r w:rsidRPr="004B6A1E">
        <w:rPr>
          <w:rFonts w:ascii="Arial" w:hAnsi="Arial" w:cs="Arial"/>
          <w:iCs/>
          <w:sz w:val="20"/>
          <w:szCs w:val="20"/>
          <w:lang w:val="fr-CH"/>
        </w:rPr>
        <w:t>2644-2661.</w:t>
      </w:r>
    </w:p>
    <w:p w:rsidR="003926B2" w:rsidRPr="004B6A1E" w:rsidRDefault="003926B2" w:rsidP="003926B2">
      <w:pPr>
        <w:spacing w:after="120" w:line="240" w:lineRule="auto"/>
        <w:ind w:left="720" w:hanging="720"/>
        <w:rPr>
          <w:rFonts w:ascii="Arial" w:hAnsi="Arial" w:cs="Arial"/>
          <w:sz w:val="20"/>
          <w:szCs w:val="20"/>
          <w:lang w:val="sv-SE"/>
        </w:rPr>
      </w:pPr>
      <w:r w:rsidRPr="004B6A1E">
        <w:rPr>
          <w:rFonts w:ascii="Arial" w:hAnsi="Arial" w:cs="Arial"/>
          <w:sz w:val="20"/>
          <w:szCs w:val="20"/>
        </w:rPr>
        <w:t xml:space="preserve">Houze, R. A., Jr., and Coauthors, 2006: The Hurricane Rainband and Intensity Change Experiment: Observations and modeling of Hurricanes Katrina, Ophelia, and Rita. </w:t>
      </w:r>
      <w:r w:rsidRPr="004B6A1E">
        <w:rPr>
          <w:rFonts w:ascii="Arial" w:hAnsi="Arial" w:cs="Arial"/>
          <w:i/>
          <w:sz w:val="20"/>
          <w:szCs w:val="20"/>
          <w:lang w:val="sv-SE"/>
        </w:rPr>
        <w:t>Bull. Amer. Meteor. Soc.,</w:t>
      </w:r>
      <w:r w:rsidRPr="004B6A1E">
        <w:rPr>
          <w:rFonts w:ascii="Arial" w:hAnsi="Arial" w:cs="Arial"/>
          <w:sz w:val="20"/>
          <w:szCs w:val="20"/>
          <w:lang w:val="sv-SE"/>
        </w:rPr>
        <w:t xml:space="preserve"> </w:t>
      </w:r>
      <w:r w:rsidRPr="004B6A1E">
        <w:rPr>
          <w:rFonts w:ascii="Arial" w:hAnsi="Arial" w:cs="Arial"/>
          <w:b/>
          <w:sz w:val="20"/>
          <w:szCs w:val="20"/>
          <w:lang w:val="sv-SE"/>
        </w:rPr>
        <w:t xml:space="preserve">87, </w:t>
      </w:r>
      <w:r w:rsidRPr="004B6A1E">
        <w:rPr>
          <w:rFonts w:ascii="Arial" w:hAnsi="Arial" w:cs="Arial"/>
          <w:sz w:val="20"/>
          <w:szCs w:val="20"/>
          <w:lang w:val="sv-SE"/>
        </w:rPr>
        <w:t>1503-1521.</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Jiang, H., and E.J. Zipser, 2010: Contribution of tropical cyclones to the global precipitation from eight seasons of TRMM data: Regional, seasonal, and interannual variations. </w:t>
      </w:r>
      <w:r w:rsidRPr="004B6A1E">
        <w:rPr>
          <w:rFonts w:ascii="Arial" w:hAnsi="Arial" w:cs="Arial"/>
          <w:i/>
          <w:sz w:val="20"/>
          <w:szCs w:val="20"/>
          <w:lang w:val="en-AU"/>
        </w:rPr>
        <w:t>J. Climate</w:t>
      </w:r>
      <w:r w:rsidRPr="004B6A1E">
        <w:rPr>
          <w:rFonts w:ascii="Arial" w:hAnsi="Arial" w:cs="Arial"/>
          <w:sz w:val="20"/>
          <w:szCs w:val="20"/>
          <w:lang w:val="en-AU"/>
        </w:rPr>
        <w:t xml:space="preserve">, </w:t>
      </w:r>
      <w:r w:rsidRPr="004B6A1E">
        <w:rPr>
          <w:rFonts w:ascii="Arial" w:hAnsi="Arial" w:cs="Arial"/>
          <w:b/>
          <w:sz w:val="20"/>
          <w:szCs w:val="20"/>
          <w:lang w:val="en-AU"/>
        </w:rPr>
        <w:t>23</w:t>
      </w:r>
      <w:r w:rsidRPr="004B6A1E">
        <w:rPr>
          <w:rFonts w:ascii="Arial" w:hAnsi="Arial" w:cs="Arial"/>
          <w:sz w:val="20"/>
          <w:szCs w:val="20"/>
          <w:lang w:val="en-AU"/>
        </w:rPr>
        <w:t>, 1526-1543.</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lastRenderedPageBreak/>
        <w:t xml:space="preserve">Jones, D.A., W. Wang, and R. Fawcett, 2009: High-quality spatial climate data-sets for Australia. </w:t>
      </w:r>
      <w:r w:rsidRPr="004B6A1E">
        <w:rPr>
          <w:rFonts w:ascii="Arial" w:hAnsi="Arial" w:cs="Arial"/>
          <w:i/>
          <w:sz w:val="20"/>
          <w:szCs w:val="20"/>
          <w:lang w:val="en-AU"/>
        </w:rPr>
        <w:t>Australian Meteorological and Oceanographic Journal</w:t>
      </w:r>
      <w:r w:rsidRPr="004B6A1E">
        <w:rPr>
          <w:rFonts w:ascii="Arial" w:hAnsi="Arial" w:cs="Arial"/>
          <w:sz w:val="20"/>
          <w:szCs w:val="20"/>
          <w:lang w:val="en-AU"/>
        </w:rPr>
        <w:t xml:space="preserve">, </w:t>
      </w:r>
      <w:r w:rsidRPr="004B6A1E">
        <w:rPr>
          <w:rFonts w:ascii="Arial" w:hAnsi="Arial" w:cs="Arial"/>
          <w:b/>
          <w:sz w:val="20"/>
          <w:szCs w:val="20"/>
          <w:lang w:val="en-AU"/>
        </w:rPr>
        <w:t>58</w:t>
      </w:r>
      <w:r w:rsidRPr="004B6A1E">
        <w:rPr>
          <w:rFonts w:ascii="Arial" w:hAnsi="Arial" w:cs="Arial"/>
          <w:sz w:val="20"/>
          <w:szCs w:val="20"/>
          <w:lang w:val="en-AU"/>
        </w:rPr>
        <w:t>, 233-248.</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Jones, S.C., 1995: The evolution of vortices in vertical shear: I: Initially barotropic vortices. </w:t>
      </w:r>
      <w:r w:rsidRPr="004B6A1E">
        <w:rPr>
          <w:rFonts w:ascii="Arial" w:hAnsi="Arial" w:cs="Arial"/>
          <w:i/>
          <w:sz w:val="20"/>
          <w:szCs w:val="20"/>
        </w:rPr>
        <w:t>Quart. J. Roy. Meteor. Soc</w:t>
      </w:r>
      <w:r w:rsidRPr="004B6A1E">
        <w:rPr>
          <w:rFonts w:ascii="Arial" w:hAnsi="Arial" w:cs="Arial"/>
          <w:sz w:val="20"/>
          <w:szCs w:val="20"/>
        </w:rPr>
        <w:t xml:space="preserve">., </w:t>
      </w:r>
      <w:r w:rsidRPr="004B6A1E">
        <w:rPr>
          <w:rFonts w:ascii="Arial" w:hAnsi="Arial" w:cs="Arial"/>
          <w:b/>
          <w:sz w:val="20"/>
          <w:szCs w:val="20"/>
        </w:rPr>
        <w:t>121</w:t>
      </w:r>
      <w:r w:rsidRPr="004B6A1E">
        <w:rPr>
          <w:rFonts w:ascii="Arial" w:hAnsi="Arial" w:cs="Arial"/>
          <w:sz w:val="20"/>
          <w:szCs w:val="20"/>
        </w:rPr>
        <w:t>, 821-851.</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Jones, S.C., P.A. Harr, J. Abraham, L.F. Bosart, P.J. Bowyer, J.L. Evans, D.E. Hanley, B.N. Hanstrum, R.E. Hart, F. Lalaurette, et al., 2003:  The extratropical transition of tropical cyclones: forecast challenges, current understanding, and future directions.  </w:t>
      </w:r>
      <w:r w:rsidRPr="004B6A1E">
        <w:rPr>
          <w:rFonts w:ascii="Arial" w:hAnsi="Arial" w:cs="Arial"/>
          <w:i/>
          <w:sz w:val="20"/>
          <w:szCs w:val="20"/>
        </w:rPr>
        <w:t>Wea. Forecasting</w:t>
      </w:r>
      <w:r w:rsidRPr="004B6A1E">
        <w:rPr>
          <w:rFonts w:ascii="Arial" w:hAnsi="Arial" w:cs="Arial"/>
          <w:sz w:val="20"/>
          <w:szCs w:val="20"/>
        </w:rPr>
        <w:t xml:space="preserve">, </w:t>
      </w:r>
      <w:r w:rsidRPr="004B6A1E">
        <w:rPr>
          <w:rFonts w:ascii="Arial" w:hAnsi="Arial" w:cs="Arial"/>
          <w:b/>
          <w:sz w:val="20"/>
          <w:szCs w:val="20"/>
        </w:rPr>
        <w:t>18</w:t>
      </w:r>
      <w:r w:rsidRPr="004B6A1E">
        <w:rPr>
          <w:rFonts w:ascii="Arial" w:hAnsi="Arial" w:cs="Arial"/>
          <w:sz w:val="20"/>
          <w:szCs w:val="20"/>
        </w:rPr>
        <w:t>, 1052-1092.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Jonkman, S.N., B. Maaskant, E. Boyd, and M. L. Levitan, 2009: Loss of life caused by the flooding of New Orleans after Hurricane Katrina: Analysis of the relationship between flood characteristics and mortality, </w:t>
      </w:r>
      <w:r w:rsidRPr="004B6A1E">
        <w:rPr>
          <w:rFonts w:ascii="Arial" w:hAnsi="Arial" w:cs="Arial"/>
          <w:i/>
          <w:sz w:val="20"/>
          <w:szCs w:val="20"/>
        </w:rPr>
        <w:t>Risk Analysis</w:t>
      </w:r>
      <w:r w:rsidRPr="004B6A1E">
        <w:rPr>
          <w:rFonts w:ascii="Arial" w:hAnsi="Arial" w:cs="Arial"/>
          <w:sz w:val="20"/>
          <w:szCs w:val="20"/>
        </w:rPr>
        <w:t xml:space="preserve">, </w:t>
      </w:r>
      <w:r w:rsidRPr="004B6A1E">
        <w:rPr>
          <w:rFonts w:ascii="Arial" w:hAnsi="Arial" w:cs="Arial"/>
          <w:b/>
          <w:sz w:val="20"/>
          <w:szCs w:val="20"/>
        </w:rPr>
        <w:t>29</w:t>
      </w:r>
      <w:r w:rsidRPr="004B6A1E">
        <w:rPr>
          <w:rFonts w:ascii="Arial" w:hAnsi="Arial" w:cs="Arial"/>
          <w:sz w:val="20"/>
          <w:szCs w:val="20"/>
        </w:rPr>
        <w:t>(5), 676-698.</w:t>
      </w:r>
    </w:p>
    <w:p w:rsidR="003926B2" w:rsidRPr="004B6A1E" w:rsidRDefault="003926B2" w:rsidP="003926B2">
      <w:pPr>
        <w:spacing w:after="120" w:line="240" w:lineRule="auto"/>
        <w:ind w:left="720" w:hanging="720"/>
        <w:rPr>
          <w:rStyle w:val="nlmstring-name"/>
          <w:rFonts w:ascii="Arial" w:hAnsi="Arial" w:cs="Arial"/>
          <w:sz w:val="20"/>
          <w:szCs w:val="20"/>
        </w:rPr>
      </w:pPr>
      <w:r w:rsidRPr="004B6A1E">
        <w:rPr>
          <w:rStyle w:val="nlmstring-name"/>
          <w:rFonts w:ascii="Arial" w:hAnsi="Arial" w:cs="Arial"/>
          <w:sz w:val="20"/>
          <w:szCs w:val="20"/>
        </w:rPr>
        <w:t xml:space="preserve">Kubota, H., and B. Wang, 2009: How much do tropical cyclones affect seasonal and interannual rainfall variability over the western North Pacific?  </w:t>
      </w:r>
      <w:r w:rsidRPr="004B6A1E">
        <w:rPr>
          <w:rStyle w:val="nlmstring-name"/>
          <w:rFonts w:ascii="Arial" w:hAnsi="Arial" w:cs="Arial"/>
          <w:i/>
          <w:sz w:val="20"/>
          <w:szCs w:val="20"/>
        </w:rPr>
        <w:t>J. Climate</w:t>
      </w:r>
      <w:r w:rsidRPr="004B6A1E">
        <w:rPr>
          <w:rStyle w:val="nlmstring-name"/>
          <w:rFonts w:ascii="Arial" w:hAnsi="Arial" w:cs="Arial"/>
          <w:sz w:val="20"/>
          <w:szCs w:val="20"/>
        </w:rPr>
        <w:t xml:space="preserve">, </w:t>
      </w:r>
      <w:r w:rsidRPr="004B6A1E">
        <w:rPr>
          <w:rStyle w:val="nlmstring-name"/>
          <w:rFonts w:ascii="Arial" w:hAnsi="Arial" w:cs="Arial"/>
          <w:b/>
          <w:sz w:val="20"/>
          <w:szCs w:val="20"/>
        </w:rPr>
        <w:t>22</w:t>
      </w:r>
      <w:r w:rsidRPr="004B6A1E">
        <w:rPr>
          <w:rStyle w:val="nlmstring-name"/>
          <w:rFonts w:ascii="Arial" w:hAnsi="Arial" w:cs="Arial"/>
          <w:sz w:val="20"/>
          <w:szCs w:val="20"/>
        </w:rPr>
        <w:t>, 5495-5510.</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Konrad, C.E., and L.B. Perry, 2010: Relationships between tropical cyclones and heavy rainfall in the Carolina region of the USA, </w:t>
      </w:r>
      <w:r w:rsidRPr="004B6A1E">
        <w:rPr>
          <w:rFonts w:ascii="Arial" w:hAnsi="Arial" w:cs="Arial"/>
          <w:i/>
          <w:sz w:val="20"/>
          <w:szCs w:val="20"/>
        </w:rPr>
        <w:t>Int. J. Climatol.</w:t>
      </w:r>
      <w:r w:rsidRPr="004B6A1E">
        <w:rPr>
          <w:rFonts w:ascii="Arial" w:hAnsi="Arial" w:cs="Arial"/>
          <w:sz w:val="20"/>
          <w:szCs w:val="20"/>
        </w:rPr>
        <w:t xml:space="preserve">, </w:t>
      </w:r>
      <w:r w:rsidRPr="004B6A1E">
        <w:rPr>
          <w:rFonts w:ascii="Arial" w:hAnsi="Arial" w:cs="Arial"/>
          <w:b/>
          <w:sz w:val="20"/>
          <w:szCs w:val="20"/>
        </w:rPr>
        <w:t>30</w:t>
      </w:r>
      <w:r w:rsidRPr="004B6A1E">
        <w:rPr>
          <w:rFonts w:ascii="Arial" w:hAnsi="Arial" w:cs="Arial"/>
          <w:sz w:val="20"/>
          <w:szCs w:val="20"/>
        </w:rPr>
        <w:t>, 522.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Kunkel, K.E., D.R. Easterling, D.A.R. Kristovich, B. Gleason, L. Stoecker, and R. Smith, 2010:  Recent increases in U.S. heavy precipitation associated with tropical cyclones, </w:t>
      </w:r>
      <w:r w:rsidRPr="004B6A1E">
        <w:rPr>
          <w:rFonts w:ascii="Arial" w:hAnsi="Arial" w:cs="Arial"/>
          <w:i/>
          <w:sz w:val="20"/>
          <w:szCs w:val="20"/>
        </w:rPr>
        <w:t>Geophys. Res. Lett</w:t>
      </w:r>
      <w:r w:rsidRPr="004B6A1E">
        <w:rPr>
          <w:rFonts w:ascii="Arial" w:hAnsi="Arial" w:cs="Arial"/>
          <w:sz w:val="20"/>
          <w:szCs w:val="20"/>
        </w:rPr>
        <w:t xml:space="preserve">., </w:t>
      </w:r>
      <w:r w:rsidRPr="004B6A1E">
        <w:rPr>
          <w:rFonts w:ascii="Arial" w:hAnsi="Arial" w:cs="Arial"/>
          <w:b/>
          <w:sz w:val="20"/>
          <w:szCs w:val="20"/>
        </w:rPr>
        <w:t>37</w:t>
      </w:r>
      <w:r w:rsidRPr="004B6A1E">
        <w:rPr>
          <w:rFonts w:ascii="Arial" w:hAnsi="Arial" w:cs="Arial"/>
          <w:sz w:val="20"/>
          <w:szCs w:val="20"/>
        </w:rPr>
        <w:t>, L24706, doi:10.1029/2010GL045164.</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Lavender, S. L., and D. J. Abbs, 2013: Trends in Australian rainfall: Contribution of tropical cyclones and closed lows. </w:t>
      </w:r>
      <w:r w:rsidRPr="004B6A1E">
        <w:rPr>
          <w:rFonts w:ascii="Arial" w:hAnsi="Arial" w:cs="Arial"/>
          <w:i/>
          <w:sz w:val="20"/>
          <w:szCs w:val="20"/>
          <w:lang w:val="en-AU"/>
        </w:rPr>
        <w:t>Climate Dyn</w:t>
      </w:r>
      <w:r w:rsidRPr="004B6A1E">
        <w:rPr>
          <w:rFonts w:ascii="Arial" w:hAnsi="Arial" w:cs="Arial"/>
          <w:sz w:val="20"/>
          <w:szCs w:val="20"/>
          <w:lang w:val="en-AU"/>
        </w:rPr>
        <w:t>., 40, 317–326.</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Lee, C.-S., C. C. Wu, T. C. C. Wang, and R. L. Elsberry, 2011: Advances in understanding the “Perfect Monsoon-influenced Typhoon”: Summary from International Conference on Typhoon Morakot (2009).  </w:t>
      </w:r>
      <w:r w:rsidRPr="004B6A1E">
        <w:rPr>
          <w:rFonts w:ascii="Arial" w:hAnsi="Arial" w:cs="Arial"/>
          <w:i/>
          <w:sz w:val="20"/>
          <w:szCs w:val="20"/>
        </w:rPr>
        <w:t>Asia Pac. J. Atmos. Sci</w:t>
      </w:r>
      <w:r w:rsidRPr="004B6A1E">
        <w:rPr>
          <w:rFonts w:ascii="Arial" w:hAnsi="Arial" w:cs="Arial"/>
          <w:sz w:val="20"/>
          <w:szCs w:val="20"/>
        </w:rPr>
        <w:t xml:space="preserve">., </w:t>
      </w:r>
      <w:r w:rsidRPr="004B6A1E">
        <w:rPr>
          <w:rFonts w:ascii="Arial" w:hAnsi="Arial" w:cs="Arial"/>
          <w:b/>
          <w:sz w:val="20"/>
          <w:szCs w:val="20"/>
        </w:rPr>
        <w:t>47</w:t>
      </w:r>
      <w:r w:rsidRPr="004B6A1E">
        <w:rPr>
          <w:rFonts w:ascii="Arial" w:hAnsi="Arial" w:cs="Arial"/>
          <w:sz w:val="20"/>
          <w:szCs w:val="20"/>
        </w:rPr>
        <w:t>, 213–222.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Lee, C.-S., B.-F. Chen, and R. L. Elsberry, 2012: Long-lasting convective systems in the outer region of tropical cyclones in the western North Pacific. </w:t>
      </w:r>
      <w:r w:rsidRPr="004B6A1E">
        <w:rPr>
          <w:rFonts w:ascii="Arial" w:hAnsi="Arial" w:cs="Arial"/>
          <w:i/>
          <w:sz w:val="20"/>
          <w:szCs w:val="20"/>
        </w:rPr>
        <w:t>Geophys. Res. Lett</w:t>
      </w:r>
      <w:r w:rsidRPr="004B6A1E">
        <w:rPr>
          <w:rFonts w:ascii="Arial" w:hAnsi="Arial" w:cs="Arial"/>
          <w:sz w:val="20"/>
          <w:szCs w:val="20"/>
        </w:rPr>
        <w:t xml:space="preserve">., </w:t>
      </w:r>
      <w:r w:rsidRPr="004B6A1E">
        <w:rPr>
          <w:rFonts w:ascii="Arial" w:hAnsi="Arial" w:cs="Arial"/>
          <w:b/>
          <w:sz w:val="20"/>
          <w:szCs w:val="20"/>
        </w:rPr>
        <w:t>39</w:t>
      </w:r>
      <w:r w:rsidRPr="004B6A1E">
        <w:rPr>
          <w:rFonts w:ascii="Arial" w:hAnsi="Arial" w:cs="Arial"/>
          <w:sz w:val="20"/>
          <w:szCs w:val="20"/>
        </w:rPr>
        <w:t>, L21812.</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Lonfat, M., F.D.Jr. Marks, and S.S. Chen, 2004:</w:t>
      </w:r>
      <w:r w:rsidR="00FE4C29">
        <w:rPr>
          <w:rFonts w:ascii="Arial" w:hAnsi="Arial" w:cs="Arial"/>
          <w:sz w:val="20"/>
          <w:szCs w:val="20"/>
          <w:lang w:val="en-AU"/>
        </w:rPr>
        <w:t xml:space="preserve"> Precipitation distribution in tropical c</w:t>
      </w:r>
      <w:r w:rsidRPr="004B6A1E">
        <w:rPr>
          <w:rFonts w:ascii="Arial" w:hAnsi="Arial" w:cs="Arial"/>
          <w:sz w:val="20"/>
          <w:szCs w:val="20"/>
          <w:lang w:val="en-AU"/>
        </w:rPr>
        <w:t>yclones using the Tropical Rai</w:t>
      </w:r>
      <w:r w:rsidR="00FE4C29">
        <w:rPr>
          <w:rFonts w:ascii="Arial" w:hAnsi="Arial" w:cs="Arial"/>
          <w:sz w:val="20"/>
          <w:szCs w:val="20"/>
          <w:lang w:val="en-AU"/>
        </w:rPr>
        <w:t>nfall Measuring Mission (TRMM) microwave i</w:t>
      </w:r>
      <w:r w:rsidRPr="004B6A1E">
        <w:rPr>
          <w:rFonts w:ascii="Arial" w:hAnsi="Arial" w:cs="Arial"/>
          <w:sz w:val="20"/>
          <w:szCs w:val="20"/>
          <w:lang w:val="en-AU"/>
        </w:rPr>
        <w:t xml:space="preserve">mager: A global perspective. </w:t>
      </w:r>
      <w:r w:rsidRPr="004B6A1E">
        <w:rPr>
          <w:rFonts w:ascii="Arial" w:hAnsi="Arial" w:cs="Arial"/>
          <w:i/>
          <w:sz w:val="20"/>
          <w:szCs w:val="20"/>
          <w:lang w:val="en-AU"/>
        </w:rPr>
        <w:t>Mon. Wea. Rev</w:t>
      </w:r>
      <w:r w:rsidRPr="004B6A1E">
        <w:rPr>
          <w:rFonts w:ascii="Arial" w:hAnsi="Arial" w:cs="Arial"/>
          <w:sz w:val="20"/>
          <w:szCs w:val="20"/>
          <w:lang w:val="en-AU"/>
        </w:rPr>
        <w:t xml:space="preserve">., </w:t>
      </w:r>
      <w:r w:rsidRPr="004B6A1E">
        <w:rPr>
          <w:rFonts w:ascii="Arial" w:hAnsi="Arial" w:cs="Arial"/>
          <w:b/>
          <w:sz w:val="20"/>
          <w:szCs w:val="20"/>
          <w:lang w:val="en-AU"/>
        </w:rPr>
        <w:t>132</w:t>
      </w:r>
      <w:r w:rsidRPr="004B6A1E">
        <w:rPr>
          <w:rFonts w:ascii="Arial" w:hAnsi="Arial" w:cs="Arial"/>
          <w:sz w:val="20"/>
          <w:szCs w:val="20"/>
          <w:lang w:val="en-AU"/>
        </w:rPr>
        <w:t>, 1645-1660.</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Lonfat, M., R. Rogers, T. Marchok, and F.D. Marks Jr., 2007: A parametric model for predicting hurricane rainfall.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135</w:t>
      </w:r>
      <w:r w:rsidRPr="004B6A1E">
        <w:rPr>
          <w:rFonts w:ascii="Arial" w:hAnsi="Arial" w:cs="Arial"/>
          <w:sz w:val="20"/>
          <w:szCs w:val="20"/>
        </w:rPr>
        <w:t>, 3086-3097.</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Maddox, R. A., C. F. Chappell, and L. R. Hoxit, 1979: Synoptic and meso-α scale aspects of flash flood events. </w:t>
      </w:r>
      <w:r w:rsidRPr="004B6A1E">
        <w:rPr>
          <w:rFonts w:ascii="Arial" w:hAnsi="Arial" w:cs="Arial"/>
          <w:i/>
          <w:sz w:val="20"/>
          <w:szCs w:val="20"/>
        </w:rPr>
        <w:t>Bull. Amer. Meteor. Soc.,</w:t>
      </w:r>
      <w:r w:rsidRPr="004B6A1E">
        <w:rPr>
          <w:rFonts w:ascii="Arial" w:hAnsi="Arial" w:cs="Arial"/>
          <w:sz w:val="20"/>
          <w:szCs w:val="20"/>
        </w:rPr>
        <w:t xml:space="preserve"> </w:t>
      </w:r>
      <w:r w:rsidRPr="004B6A1E">
        <w:rPr>
          <w:rFonts w:ascii="Arial" w:hAnsi="Arial" w:cs="Arial"/>
          <w:b/>
          <w:sz w:val="20"/>
          <w:szCs w:val="20"/>
        </w:rPr>
        <w:t>60,</w:t>
      </w:r>
      <w:r w:rsidRPr="004B6A1E">
        <w:rPr>
          <w:rFonts w:ascii="Arial" w:hAnsi="Arial" w:cs="Arial"/>
          <w:sz w:val="20"/>
          <w:szCs w:val="20"/>
        </w:rPr>
        <w:t xml:space="preserve"> 115–123.</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Maddox, R. A., 1980: Meoscale convective complexes. </w:t>
      </w:r>
      <w:r w:rsidRPr="004B6A1E">
        <w:rPr>
          <w:rFonts w:ascii="Arial" w:hAnsi="Arial" w:cs="Arial"/>
          <w:i/>
          <w:sz w:val="20"/>
          <w:szCs w:val="20"/>
        </w:rPr>
        <w:t>Bull. Amer. Meteor. Soc.</w:t>
      </w:r>
      <w:r w:rsidRPr="004B6A1E">
        <w:rPr>
          <w:rFonts w:ascii="Arial" w:hAnsi="Arial" w:cs="Arial"/>
          <w:sz w:val="20"/>
          <w:szCs w:val="20"/>
        </w:rPr>
        <w:t xml:space="preserve">, </w:t>
      </w:r>
      <w:r w:rsidRPr="004B6A1E">
        <w:rPr>
          <w:rFonts w:ascii="Arial" w:hAnsi="Arial" w:cs="Arial"/>
          <w:b/>
          <w:sz w:val="20"/>
          <w:szCs w:val="20"/>
        </w:rPr>
        <w:t>61</w:t>
      </w:r>
      <w:r w:rsidRPr="004B6A1E">
        <w:rPr>
          <w:rFonts w:ascii="Arial" w:hAnsi="Arial" w:cs="Arial"/>
          <w:sz w:val="20"/>
          <w:szCs w:val="20"/>
        </w:rPr>
        <w:t>, 1374–1387.</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Marchok, T., R. Rogers, and R. Tuleya, 2007: </w:t>
      </w:r>
      <w:r w:rsidRPr="004B6A1E">
        <w:rPr>
          <w:rFonts w:ascii="Arial" w:hAnsi="Arial" w:cs="Arial"/>
          <w:bCs/>
          <w:sz w:val="20"/>
          <w:szCs w:val="20"/>
          <w:lang w:val="en-AU"/>
        </w:rPr>
        <w:t xml:space="preserve">Validation schemes for tropical cyclone quantitative precipitation forecasts:  Evaluation of operational models for U.S. landfalling cases. </w:t>
      </w:r>
      <w:r w:rsidRPr="004B6A1E">
        <w:rPr>
          <w:rFonts w:ascii="Arial" w:hAnsi="Arial" w:cs="Arial"/>
          <w:i/>
          <w:sz w:val="20"/>
          <w:szCs w:val="20"/>
          <w:lang w:val="en-AU"/>
        </w:rPr>
        <w:t>Wea. Forecast.</w:t>
      </w:r>
      <w:r w:rsidRPr="004B6A1E">
        <w:rPr>
          <w:rFonts w:ascii="Arial" w:hAnsi="Arial" w:cs="Arial"/>
          <w:sz w:val="20"/>
          <w:szCs w:val="20"/>
          <w:lang w:val="en-AU"/>
        </w:rPr>
        <w:t xml:space="preserve">, </w:t>
      </w:r>
      <w:r w:rsidRPr="004B6A1E">
        <w:rPr>
          <w:rFonts w:ascii="Arial" w:hAnsi="Arial" w:cs="Arial"/>
          <w:b/>
          <w:sz w:val="20"/>
          <w:szCs w:val="20"/>
          <w:lang w:val="en-AU"/>
        </w:rPr>
        <w:t>22</w:t>
      </w:r>
      <w:r w:rsidRPr="004B6A1E">
        <w:rPr>
          <w:rFonts w:ascii="Arial" w:hAnsi="Arial" w:cs="Arial"/>
          <w:sz w:val="20"/>
          <w:szCs w:val="20"/>
          <w:lang w:val="en-AU"/>
        </w:rPr>
        <w:t>, 726-746.</w:t>
      </w:r>
    </w:p>
    <w:p w:rsidR="003926B2" w:rsidRPr="004B6A1E" w:rsidRDefault="003926B2" w:rsidP="003926B2">
      <w:pPr>
        <w:spacing w:after="120" w:line="240" w:lineRule="auto"/>
        <w:ind w:left="720" w:hanging="720"/>
        <w:rPr>
          <w:rStyle w:val="nlmstring-name"/>
          <w:rFonts w:ascii="Arial" w:hAnsi="Arial" w:cs="Arial"/>
          <w:sz w:val="20"/>
          <w:szCs w:val="20"/>
        </w:rPr>
      </w:pPr>
      <w:r w:rsidRPr="004B6A1E">
        <w:rPr>
          <w:rStyle w:val="nlmstring-name"/>
          <w:rFonts w:ascii="Arial" w:hAnsi="Arial" w:cs="Arial"/>
          <w:sz w:val="20"/>
          <w:szCs w:val="20"/>
        </w:rPr>
        <w:t xml:space="preserve">Marks, F.D., 2003:  State of the science: Radar view of tropical cyclones.  </w:t>
      </w:r>
      <w:r w:rsidRPr="004B6A1E">
        <w:rPr>
          <w:rStyle w:val="nlmstring-name"/>
          <w:rFonts w:ascii="Arial" w:hAnsi="Arial" w:cs="Arial"/>
          <w:i/>
          <w:sz w:val="20"/>
          <w:szCs w:val="20"/>
        </w:rPr>
        <w:t>Meteorological Monographs</w:t>
      </w:r>
      <w:r w:rsidRPr="004B6A1E">
        <w:rPr>
          <w:rStyle w:val="nlmstring-name"/>
          <w:rFonts w:ascii="Arial" w:hAnsi="Arial" w:cs="Arial"/>
          <w:sz w:val="20"/>
          <w:szCs w:val="20"/>
        </w:rPr>
        <w:t xml:space="preserve">, </w:t>
      </w:r>
      <w:r w:rsidRPr="004B6A1E">
        <w:rPr>
          <w:rStyle w:val="nlmstring-name"/>
          <w:rFonts w:ascii="Arial" w:hAnsi="Arial" w:cs="Arial"/>
          <w:b/>
          <w:sz w:val="20"/>
          <w:szCs w:val="20"/>
        </w:rPr>
        <w:t>30</w:t>
      </w:r>
      <w:r w:rsidRPr="004B6A1E">
        <w:rPr>
          <w:rStyle w:val="nlmstring-name"/>
          <w:rFonts w:ascii="Arial" w:hAnsi="Arial" w:cs="Arial"/>
          <w:sz w:val="20"/>
          <w:szCs w:val="20"/>
        </w:rPr>
        <w:t>, 33.</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McBride, J.L., and T.D. Keenan, 1982: Climatology of tropical cyclone genesis in the Australian region. </w:t>
      </w:r>
      <w:r w:rsidRPr="004B6A1E">
        <w:rPr>
          <w:rFonts w:ascii="Arial" w:hAnsi="Arial" w:cs="Arial"/>
          <w:i/>
          <w:sz w:val="20"/>
          <w:szCs w:val="20"/>
          <w:lang w:val="en-AU"/>
        </w:rPr>
        <w:t>J. Climatol</w:t>
      </w:r>
      <w:r w:rsidRPr="004B6A1E">
        <w:rPr>
          <w:rFonts w:ascii="Arial" w:hAnsi="Arial" w:cs="Arial"/>
          <w:sz w:val="20"/>
          <w:szCs w:val="20"/>
          <w:lang w:val="en-AU"/>
        </w:rPr>
        <w:t xml:space="preserve">., </w:t>
      </w:r>
      <w:r w:rsidRPr="004B6A1E">
        <w:rPr>
          <w:rFonts w:ascii="Arial" w:hAnsi="Arial" w:cs="Arial"/>
          <w:b/>
          <w:sz w:val="20"/>
          <w:szCs w:val="20"/>
          <w:lang w:val="en-AU"/>
        </w:rPr>
        <w:t>2</w:t>
      </w:r>
      <w:r w:rsidRPr="004B6A1E">
        <w:rPr>
          <w:rFonts w:ascii="Arial" w:hAnsi="Arial" w:cs="Arial"/>
          <w:sz w:val="20"/>
          <w:szCs w:val="20"/>
          <w:lang w:val="en-AU"/>
        </w:rPr>
        <w:t>, 13-33.</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McBride, J.L., 1983: Australian tropical weather systems. In: </w:t>
      </w:r>
      <w:r w:rsidRPr="004B6A1E">
        <w:rPr>
          <w:rFonts w:ascii="Arial" w:hAnsi="Arial" w:cs="Arial"/>
          <w:i/>
          <w:sz w:val="20"/>
          <w:szCs w:val="20"/>
          <w:lang w:val="en-AU"/>
        </w:rPr>
        <w:t>Australian Conference on Tropical Meteorology, Melbourne, 24-25 March 1983</w:t>
      </w:r>
      <w:r w:rsidRPr="004B6A1E">
        <w:rPr>
          <w:rFonts w:ascii="Arial" w:hAnsi="Arial" w:cs="Arial"/>
          <w:sz w:val="20"/>
          <w:szCs w:val="20"/>
          <w:lang w:val="en-AU"/>
        </w:rPr>
        <w:t>, 7-9.</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McBride, J.L., 1987: The Australian summer monsoon. </w:t>
      </w:r>
      <w:r w:rsidRPr="004B6A1E">
        <w:rPr>
          <w:rFonts w:ascii="Arial" w:hAnsi="Arial" w:cs="Arial"/>
          <w:i/>
          <w:sz w:val="20"/>
          <w:szCs w:val="20"/>
          <w:lang w:val="en-AU"/>
        </w:rPr>
        <w:t>Monsoon Meteorology</w:t>
      </w:r>
      <w:r w:rsidRPr="004B6A1E">
        <w:rPr>
          <w:rFonts w:ascii="Arial" w:hAnsi="Arial" w:cs="Arial"/>
          <w:sz w:val="20"/>
          <w:szCs w:val="20"/>
          <w:lang w:val="en-AU"/>
        </w:rPr>
        <w:t>, C.P. Chang and T.N. Krishnamurti, Eds., Oxford University Press, 203-231.</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McBride, J.L., 1998: Indonesia, Papua New Guinea, and Tropical Australia. Chapter 3A</w:t>
      </w:r>
      <w:r w:rsidR="00FE4C29">
        <w:rPr>
          <w:rFonts w:ascii="Arial" w:hAnsi="Arial" w:cs="Arial"/>
          <w:sz w:val="20"/>
          <w:szCs w:val="20"/>
          <w:lang w:val="en-AU"/>
        </w:rPr>
        <w:t xml:space="preserve">, </w:t>
      </w:r>
      <w:r w:rsidRPr="004B6A1E">
        <w:rPr>
          <w:rFonts w:ascii="Arial" w:hAnsi="Arial" w:cs="Arial"/>
          <w:sz w:val="20"/>
          <w:szCs w:val="20"/>
          <w:u w:val="single"/>
          <w:lang w:val="en-AU"/>
        </w:rPr>
        <w:t>Meteorology of the Southern Hemisphere</w:t>
      </w:r>
      <w:r w:rsidRPr="004B6A1E">
        <w:rPr>
          <w:rFonts w:ascii="Arial" w:hAnsi="Arial" w:cs="Arial"/>
          <w:sz w:val="20"/>
          <w:szCs w:val="20"/>
          <w:lang w:val="en-AU"/>
        </w:rPr>
        <w:t>, Meteorological Monograph No. 49, American Meteorological Society.</w:t>
      </w:r>
    </w:p>
    <w:p w:rsidR="003926B2" w:rsidRPr="004B6A1E" w:rsidRDefault="003926B2" w:rsidP="003926B2">
      <w:pPr>
        <w:spacing w:after="120" w:line="240" w:lineRule="auto"/>
        <w:ind w:left="720" w:hanging="720"/>
        <w:rPr>
          <w:rStyle w:val="nlmstring-name"/>
          <w:rFonts w:ascii="Arial" w:hAnsi="Arial" w:cs="Arial"/>
          <w:sz w:val="20"/>
          <w:szCs w:val="20"/>
        </w:rPr>
      </w:pPr>
      <w:r w:rsidRPr="004B6A1E">
        <w:rPr>
          <w:rStyle w:val="nlmstring-name"/>
          <w:rFonts w:ascii="Arial" w:hAnsi="Arial" w:cs="Arial"/>
          <w:sz w:val="20"/>
          <w:szCs w:val="20"/>
        </w:rPr>
        <w:lastRenderedPageBreak/>
        <w:t xml:space="preserve">McPhaden, M.J. and Co-authors, 2009:  Ocean-atmosphere interactions during Cyclone Nargis.  </w:t>
      </w:r>
      <w:r w:rsidRPr="004B6A1E">
        <w:rPr>
          <w:rStyle w:val="nlmstring-name"/>
          <w:rFonts w:ascii="Arial" w:hAnsi="Arial" w:cs="Arial"/>
          <w:i/>
          <w:sz w:val="20"/>
          <w:szCs w:val="20"/>
        </w:rPr>
        <w:t>Eos</w:t>
      </w:r>
      <w:r w:rsidRPr="004B6A1E">
        <w:rPr>
          <w:rStyle w:val="nlmstring-name"/>
          <w:rFonts w:ascii="Arial" w:hAnsi="Arial" w:cs="Arial"/>
          <w:sz w:val="20"/>
          <w:szCs w:val="20"/>
        </w:rPr>
        <w:t xml:space="preserve">, </w:t>
      </w:r>
      <w:r w:rsidRPr="004B6A1E">
        <w:rPr>
          <w:rStyle w:val="nlmstring-name"/>
          <w:rFonts w:ascii="Arial" w:hAnsi="Arial" w:cs="Arial"/>
          <w:b/>
          <w:sz w:val="20"/>
          <w:szCs w:val="20"/>
        </w:rPr>
        <w:t>90</w:t>
      </w:r>
      <w:r w:rsidRPr="004B6A1E">
        <w:rPr>
          <w:rStyle w:val="nlmstring-name"/>
          <w:rFonts w:ascii="Arial" w:hAnsi="Arial" w:cs="Arial"/>
          <w:sz w:val="20"/>
          <w:szCs w:val="20"/>
        </w:rPr>
        <w:t xml:space="preserve">(7), 53-60.  </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Mendelsohn, R., K. Emanuel, S. Chonabayashi, and L. Bakkensen, 2012:  The impact of climate change on global tropical cyclone damage, </w:t>
      </w:r>
      <w:r w:rsidRPr="004B6A1E">
        <w:rPr>
          <w:rFonts w:ascii="Arial" w:hAnsi="Arial" w:cs="Arial"/>
          <w:i/>
          <w:sz w:val="20"/>
          <w:szCs w:val="20"/>
        </w:rPr>
        <w:t>Nat. Clim. Change</w:t>
      </w:r>
      <w:r w:rsidRPr="004B6A1E">
        <w:rPr>
          <w:rFonts w:ascii="Arial" w:hAnsi="Arial" w:cs="Arial"/>
          <w:sz w:val="20"/>
          <w:szCs w:val="20"/>
        </w:rPr>
        <w:t xml:space="preserve">, </w:t>
      </w:r>
      <w:r w:rsidRPr="004B6A1E">
        <w:rPr>
          <w:rFonts w:ascii="Arial" w:hAnsi="Arial" w:cs="Arial"/>
          <w:b/>
          <w:sz w:val="20"/>
          <w:szCs w:val="20"/>
        </w:rPr>
        <w:t>2</w:t>
      </w:r>
      <w:r w:rsidRPr="004B6A1E">
        <w:rPr>
          <w:rFonts w:ascii="Arial" w:hAnsi="Arial" w:cs="Arial"/>
          <w:sz w:val="20"/>
          <w:szCs w:val="20"/>
        </w:rPr>
        <w:t>, 205-209.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Meng, Z., and Y. Zhang, 2012: On the squall lines preceding landfalling tropical cyclones in China.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140,</w:t>
      </w:r>
      <w:r w:rsidRPr="004B6A1E">
        <w:rPr>
          <w:rFonts w:ascii="Arial" w:hAnsi="Arial" w:cs="Arial"/>
          <w:sz w:val="20"/>
          <w:szCs w:val="20"/>
        </w:rPr>
        <w:t xml:space="preserve"> 445–470.</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Middelmann, M.H. (Editor), 2007: </w:t>
      </w:r>
      <w:r w:rsidRPr="004B6A1E">
        <w:rPr>
          <w:rFonts w:ascii="Arial" w:hAnsi="Arial" w:cs="Arial"/>
          <w:i/>
          <w:sz w:val="20"/>
          <w:szCs w:val="20"/>
          <w:lang w:val="en-AU"/>
        </w:rPr>
        <w:t>Natural Hazards in Australia. Identifying Risk Analysis Requirements</w:t>
      </w:r>
      <w:r w:rsidRPr="004B6A1E">
        <w:rPr>
          <w:rFonts w:ascii="Arial" w:hAnsi="Arial" w:cs="Arial"/>
          <w:sz w:val="20"/>
          <w:szCs w:val="20"/>
          <w:lang w:val="en-AU"/>
        </w:rPr>
        <w:t>, Geoscience Australia, Canberra.</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Moore, B. J., L. F. Bosart, D. Keyser, and M. L. Jurewicz, 2013: Synoptic-scale environments of predecessor rain events occurring east of the Rocky Mountains in association with Atlantic basin tropical cyclones.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141,</w:t>
      </w:r>
      <w:r w:rsidRPr="004B6A1E">
        <w:rPr>
          <w:rFonts w:ascii="Arial" w:hAnsi="Arial" w:cs="Arial"/>
          <w:sz w:val="20"/>
          <w:szCs w:val="20"/>
        </w:rPr>
        <w:t xml:space="preserve"> 1022–1047.</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Nogueira, R.C., and B.D. Keim, 2010: Annual volume and area variations in tropical cyclone rainfall over the eastern United States. </w:t>
      </w:r>
      <w:r w:rsidRPr="004B6A1E">
        <w:rPr>
          <w:rFonts w:ascii="Arial" w:hAnsi="Arial" w:cs="Arial"/>
          <w:i/>
          <w:sz w:val="20"/>
          <w:szCs w:val="20"/>
          <w:lang w:val="en-AU"/>
        </w:rPr>
        <w:t>J.Climate</w:t>
      </w:r>
      <w:r w:rsidRPr="004B6A1E">
        <w:rPr>
          <w:rFonts w:ascii="Arial" w:hAnsi="Arial" w:cs="Arial"/>
          <w:sz w:val="20"/>
          <w:szCs w:val="20"/>
          <w:lang w:val="en-AU"/>
        </w:rPr>
        <w:t xml:space="preserve">, </w:t>
      </w:r>
      <w:r w:rsidRPr="004B6A1E">
        <w:rPr>
          <w:rFonts w:ascii="Arial" w:hAnsi="Arial" w:cs="Arial"/>
          <w:b/>
          <w:sz w:val="20"/>
          <w:szCs w:val="20"/>
          <w:lang w:val="en-AU"/>
        </w:rPr>
        <w:t>23</w:t>
      </w:r>
      <w:r w:rsidRPr="004B6A1E">
        <w:rPr>
          <w:rFonts w:ascii="Arial" w:hAnsi="Arial" w:cs="Arial"/>
          <w:sz w:val="20"/>
          <w:szCs w:val="20"/>
          <w:lang w:val="en-AU"/>
        </w:rPr>
        <w:t>, 4363-4374.</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Peduzzi, P., B. Chatenoux, H. Dao, A. De Bono, C. Herold, J. Kossin, F. Mouton, and O. Nordbeck, 2012: Global trends in tropical cyclone risk, </w:t>
      </w:r>
      <w:r w:rsidRPr="004B6A1E">
        <w:rPr>
          <w:rFonts w:ascii="Arial" w:hAnsi="Arial" w:cs="Arial"/>
          <w:i/>
          <w:sz w:val="20"/>
          <w:szCs w:val="20"/>
        </w:rPr>
        <w:t>Nat. Clim. Change</w:t>
      </w:r>
      <w:r w:rsidRPr="004B6A1E">
        <w:rPr>
          <w:rFonts w:ascii="Arial" w:hAnsi="Arial" w:cs="Arial"/>
          <w:sz w:val="20"/>
          <w:szCs w:val="20"/>
        </w:rPr>
        <w:t xml:space="preserve">, </w:t>
      </w:r>
      <w:r w:rsidRPr="004B6A1E">
        <w:rPr>
          <w:rFonts w:ascii="Arial" w:hAnsi="Arial" w:cs="Arial"/>
          <w:b/>
          <w:sz w:val="20"/>
          <w:szCs w:val="20"/>
        </w:rPr>
        <w:t>2</w:t>
      </w:r>
      <w:r w:rsidRPr="004B6A1E">
        <w:rPr>
          <w:rFonts w:ascii="Arial" w:hAnsi="Arial" w:cs="Arial"/>
          <w:sz w:val="20"/>
          <w:szCs w:val="20"/>
        </w:rPr>
        <w:t>, 289-294.</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Pettet, C. R., and R. H. Johnson, 2003: Airflow and precipitation structure of two leading stratiform mesoscale convective systems determined from operational datasets. </w:t>
      </w:r>
      <w:r w:rsidRPr="004B6A1E">
        <w:rPr>
          <w:rFonts w:ascii="Arial" w:hAnsi="Arial" w:cs="Arial"/>
          <w:i/>
          <w:iCs/>
          <w:sz w:val="20"/>
          <w:szCs w:val="20"/>
        </w:rPr>
        <w:t>Wea. Forecasting</w:t>
      </w:r>
      <w:r w:rsidRPr="004B6A1E">
        <w:rPr>
          <w:rFonts w:ascii="Arial" w:hAnsi="Arial" w:cs="Arial"/>
          <w:sz w:val="20"/>
          <w:szCs w:val="20"/>
        </w:rPr>
        <w:t>, </w:t>
      </w:r>
      <w:r w:rsidRPr="004B6A1E">
        <w:rPr>
          <w:rFonts w:ascii="Arial" w:hAnsi="Arial" w:cs="Arial"/>
          <w:b/>
          <w:bCs/>
          <w:sz w:val="20"/>
          <w:szCs w:val="20"/>
        </w:rPr>
        <w:t>18</w:t>
      </w:r>
      <w:r w:rsidRPr="004B6A1E">
        <w:rPr>
          <w:rFonts w:ascii="Arial" w:hAnsi="Arial" w:cs="Arial"/>
          <w:sz w:val="20"/>
          <w:szCs w:val="20"/>
        </w:rPr>
        <w:t>, 685-699.</w:t>
      </w:r>
    </w:p>
    <w:p w:rsidR="003926B2" w:rsidRPr="004B6A1E" w:rsidRDefault="003926B2" w:rsidP="003926B2">
      <w:pPr>
        <w:spacing w:after="120" w:line="240" w:lineRule="auto"/>
        <w:ind w:left="720" w:hanging="720"/>
        <w:rPr>
          <w:rFonts w:ascii="Arial" w:hAnsi="Arial" w:cs="Arial"/>
          <w:sz w:val="20"/>
          <w:szCs w:val="20"/>
        </w:rPr>
      </w:pPr>
      <w:r w:rsidRPr="004B6A1E">
        <w:rPr>
          <w:rStyle w:val="nlmstring-name"/>
          <w:rFonts w:ascii="Arial" w:hAnsi="Arial" w:cs="Arial"/>
          <w:sz w:val="20"/>
          <w:szCs w:val="20"/>
        </w:rPr>
        <w:t>Pielke, R., Jr.</w:t>
      </w:r>
      <w:r w:rsidRPr="004B6A1E">
        <w:rPr>
          <w:rFonts w:ascii="Arial" w:hAnsi="Arial" w:cs="Arial"/>
          <w:sz w:val="20"/>
          <w:szCs w:val="20"/>
        </w:rPr>
        <w:t xml:space="preserve">, </w:t>
      </w:r>
      <w:r w:rsidRPr="004B6A1E">
        <w:rPr>
          <w:rStyle w:val="nlmstring-name"/>
          <w:rFonts w:ascii="Arial" w:hAnsi="Arial" w:cs="Arial"/>
          <w:sz w:val="20"/>
          <w:szCs w:val="20"/>
        </w:rPr>
        <w:t>Gratz, J.</w:t>
      </w:r>
      <w:r w:rsidRPr="004B6A1E">
        <w:rPr>
          <w:rFonts w:ascii="Arial" w:hAnsi="Arial" w:cs="Arial"/>
          <w:sz w:val="20"/>
          <w:szCs w:val="20"/>
        </w:rPr>
        <w:t xml:space="preserve">, </w:t>
      </w:r>
      <w:r w:rsidRPr="004B6A1E">
        <w:rPr>
          <w:rStyle w:val="nlmstring-name"/>
          <w:rFonts w:ascii="Arial" w:hAnsi="Arial" w:cs="Arial"/>
          <w:sz w:val="20"/>
          <w:szCs w:val="20"/>
        </w:rPr>
        <w:t>Landsea, C.</w:t>
      </w:r>
      <w:r w:rsidRPr="004B6A1E">
        <w:rPr>
          <w:rFonts w:ascii="Arial" w:hAnsi="Arial" w:cs="Arial"/>
          <w:sz w:val="20"/>
          <w:szCs w:val="20"/>
        </w:rPr>
        <w:t xml:space="preserve">, </w:t>
      </w:r>
      <w:r w:rsidRPr="004B6A1E">
        <w:rPr>
          <w:rStyle w:val="nlmstring-name"/>
          <w:rFonts w:ascii="Arial" w:hAnsi="Arial" w:cs="Arial"/>
          <w:sz w:val="20"/>
          <w:szCs w:val="20"/>
        </w:rPr>
        <w:t>Collins, D.</w:t>
      </w:r>
      <w:r w:rsidRPr="004B6A1E">
        <w:rPr>
          <w:rFonts w:ascii="Arial" w:hAnsi="Arial" w:cs="Arial"/>
          <w:sz w:val="20"/>
          <w:szCs w:val="20"/>
        </w:rPr>
        <w:t xml:space="preserve">, </w:t>
      </w:r>
      <w:r w:rsidRPr="004B6A1E">
        <w:rPr>
          <w:rStyle w:val="nlmstring-name"/>
          <w:rFonts w:ascii="Arial" w:hAnsi="Arial" w:cs="Arial"/>
          <w:sz w:val="20"/>
          <w:szCs w:val="20"/>
        </w:rPr>
        <w:t>Saunders, M.</w:t>
      </w:r>
      <w:r w:rsidRPr="004B6A1E">
        <w:rPr>
          <w:rFonts w:ascii="Arial" w:hAnsi="Arial" w:cs="Arial"/>
          <w:sz w:val="20"/>
          <w:szCs w:val="20"/>
        </w:rPr>
        <w:t xml:space="preserve">, and </w:t>
      </w:r>
      <w:r w:rsidRPr="004B6A1E">
        <w:rPr>
          <w:rStyle w:val="nlmstring-name"/>
          <w:rFonts w:ascii="Arial" w:hAnsi="Arial" w:cs="Arial"/>
          <w:sz w:val="20"/>
          <w:szCs w:val="20"/>
        </w:rPr>
        <w:t>Musulin, R.</w:t>
      </w:r>
      <w:r w:rsidRPr="004B6A1E">
        <w:rPr>
          <w:rFonts w:ascii="Arial" w:hAnsi="Arial" w:cs="Arial"/>
          <w:sz w:val="20"/>
          <w:szCs w:val="20"/>
        </w:rPr>
        <w:t xml:space="preserve">, 2008: Normalized Hurricane Damage in the United States: 1900–2005.  </w:t>
      </w:r>
      <w:r w:rsidRPr="004B6A1E">
        <w:rPr>
          <w:rFonts w:ascii="Arial" w:hAnsi="Arial" w:cs="Arial"/>
          <w:i/>
          <w:iCs/>
          <w:sz w:val="20"/>
          <w:szCs w:val="20"/>
        </w:rPr>
        <w:t>Nat. Hazards Rev.</w:t>
      </w:r>
      <w:r w:rsidRPr="004B6A1E">
        <w:rPr>
          <w:rFonts w:ascii="Arial" w:hAnsi="Arial" w:cs="Arial"/>
          <w:sz w:val="20"/>
          <w:szCs w:val="20"/>
        </w:rPr>
        <w:t xml:space="preserve">, </w:t>
      </w:r>
      <w:r w:rsidRPr="004B6A1E">
        <w:rPr>
          <w:rFonts w:ascii="Arial" w:hAnsi="Arial" w:cs="Arial"/>
          <w:b/>
          <w:sz w:val="20"/>
          <w:szCs w:val="20"/>
        </w:rPr>
        <w:t>9</w:t>
      </w:r>
      <w:r w:rsidRPr="004B6A1E">
        <w:rPr>
          <w:rFonts w:ascii="Arial" w:hAnsi="Arial" w:cs="Arial"/>
          <w:sz w:val="20"/>
          <w:szCs w:val="20"/>
        </w:rPr>
        <w:t>(1), 29–42.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Powell, M.D., 1982: The transition of the Hurricane Frederic boundary-layer wind field from the open Gulf of Mexico to landfall.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110</w:t>
      </w:r>
      <w:r w:rsidRPr="004B6A1E">
        <w:rPr>
          <w:rFonts w:ascii="Arial" w:hAnsi="Arial" w:cs="Arial"/>
          <w:sz w:val="20"/>
          <w:szCs w:val="20"/>
        </w:rPr>
        <w:t>, 1912-1932.</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Powell, M. D., 1990: Boundary layer structure and dynamics in outer hurricane rainbands. Part I: Mesoscale rainfall and kinematic structure.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118,</w:t>
      </w:r>
      <w:r w:rsidRPr="004B6A1E">
        <w:rPr>
          <w:rFonts w:ascii="Arial" w:hAnsi="Arial" w:cs="Arial"/>
          <w:sz w:val="20"/>
          <w:szCs w:val="20"/>
        </w:rPr>
        <w:t xml:space="preserve"> 891-917.</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Prat, O.P., and B.R. Nelson, 2013:  Mapping the world’s tropical cyclone rainfall contribution over land using the TRMM Multi-satellite Precipitation Analysis, </w:t>
      </w:r>
      <w:r w:rsidRPr="004B6A1E">
        <w:rPr>
          <w:rFonts w:ascii="Arial" w:hAnsi="Arial" w:cs="Arial"/>
          <w:i/>
          <w:sz w:val="20"/>
          <w:szCs w:val="20"/>
        </w:rPr>
        <w:t>Water Resources Research</w:t>
      </w:r>
      <w:r w:rsidRPr="004B6A1E">
        <w:rPr>
          <w:rFonts w:ascii="Arial" w:hAnsi="Arial" w:cs="Arial"/>
          <w:sz w:val="20"/>
          <w:szCs w:val="20"/>
        </w:rPr>
        <w:t xml:space="preserve">, </w:t>
      </w:r>
      <w:r w:rsidRPr="004B6A1E">
        <w:rPr>
          <w:rFonts w:ascii="Arial" w:hAnsi="Arial" w:cs="Arial"/>
          <w:b/>
          <w:sz w:val="20"/>
          <w:szCs w:val="20"/>
        </w:rPr>
        <w:t>49</w:t>
      </w:r>
      <w:r w:rsidRPr="004B6A1E">
        <w:rPr>
          <w:rFonts w:ascii="Arial" w:hAnsi="Arial" w:cs="Arial"/>
          <w:sz w:val="20"/>
          <w:szCs w:val="20"/>
        </w:rPr>
        <w:t>, 7236–7254, doi:10.1002/wrcr.20527.</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Rappaport, E.N., 2000:  Loss of life in the United States associated with recent Atlantic tropical cyclones.  </w:t>
      </w:r>
      <w:r w:rsidRPr="004B6A1E">
        <w:rPr>
          <w:rFonts w:ascii="Arial" w:hAnsi="Arial" w:cs="Arial"/>
          <w:i/>
          <w:sz w:val="20"/>
          <w:szCs w:val="20"/>
        </w:rPr>
        <w:t>Bull. Amer. Meteor. Soc</w:t>
      </w:r>
      <w:r w:rsidRPr="004B6A1E">
        <w:rPr>
          <w:rFonts w:ascii="Arial" w:hAnsi="Arial" w:cs="Arial"/>
          <w:sz w:val="20"/>
          <w:szCs w:val="20"/>
        </w:rPr>
        <w:t xml:space="preserve">., </w:t>
      </w:r>
      <w:r w:rsidRPr="004B6A1E">
        <w:rPr>
          <w:rFonts w:ascii="Arial" w:hAnsi="Arial" w:cs="Arial"/>
          <w:b/>
          <w:sz w:val="20"/>
          <w:szCs w:val="20"/>
        </w:rPr>
        <w:t>81</w:t>
      </w:r>
      <w:r w:rsidRPr="004B6A1E">
        <w:rPr>
          <w:rFonts w:ascii="Arial" w:hAnsi="Arial" w:cs="Arial"/>
          <w:sz w:val="20"/>
          <w:szCs w:val="20"/>
        </w:rPr>
        <w:t>, 2065-2074.</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Rappaport, E.N., 2014:  Fatalities in the United States from Atlantic tropical cyclones</w:t>
      </w:r>
      <w:r w:rsidR="00FE4C29">
        <w:rPr>
          <w:rFonts w:ascii="Arial" w:hAnsi="Arial" w:cs="Arial"/>
          <w:sz w:val="20"/>
          <w:szCs w:val="20"/>
        </w:rPr>
        <w:t>.</w:t>
      </w:r>
      <w:r w:rsidRPr="004B6A1E">
        <w:rPr>
          <w:rFonts w:ascii="Arial" w:hAnsi="Arial" w:cs="Arial"/>
          <w:sz w:val="20"/>
          <w:szCs w:val="20"/>
        </w:rPr>
        <w:t xml:space="preserve"> </w:t>
      </w:r>
      <w:r w:rsidRPr="004B6A1E">
        <w:rPr>
          <w:rFonts w:ascii="Arial" w:hAnsi="Arial" w:cs="Arial"/>
          <w:i/>
          <w:sz w:val="20"/>
          <w:szCs w:val="20"/>
        </w:rPr>
        <w:t>Bull. Amer. Meteor. Soc</w:t>
      </w:r>
      <w:r w:rsidRPr="004B6A1E">
        <w:rPr>
          <w:rFonts w:ascii="Arial" w:hAnsi="Arial" w:cs="Arial"/>
          <w:sz w:val="20"/>
          <w:szCs w:val="20"/>
        </w:rPr>
        <w:t xml:space="preserve">., </w:t>
      </w:r>
      <w:r w:rsidRPr="004B6A1E">
        <w:rPr>
          <w:rFonts w:ascii="Arial" w:hAnsi="Arial" w:cs="Arial"/>
          <w:b/>
          <w:sz w:val="20"/>
          <w:szCs w:val="20"/>
        </w:rPr>
        <w:t>95</w:t>
      </w:r>
      <w:r w:rsidRPr="004B6A1E">
        <w:rPr>
          <w:rFonts w:ascii="Arial" w:hAnsi="Arial" w:cs="Arial"/>
          <w:sz w:val="20"/>
          <w:szCs w:val="20"/>
        </w:rPr>
        <w:t>, 341-346.</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Reasor, P.D., R. Rogers, and S. Lorsolo, 2013: Environmental flow impacts on tropical cyclone structure diagnosed from airborne Doppler radar composites.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141</w:t>
      </w:r>
      <w:r w:rsidRPr="004B6A1E">
        <w:rPr>
          <w:rFonts w:ascii="Arial" w:hAnsi="Arial" w:cs="Arial"/>
          <w:sz w:val="20"/>
          <w:szCs w:val="20"/>
        </w:rPr>
        <w:t>, 2949-2969.</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Ren, F., G. Wu, W. Dong, X. Wang, Y. Wang, W. Ai, and W. Li, 2006: Changes in tropical cyclone precipitation over China. </w:t>
      </w:r>
      <w:r w:rsidRPr="004B6A1E">
        <w:rPr>
          <w:rFonts w:ascii="Arial" w:hAnsi="Arial" w:cs="Arial"/>
          <w:i/>
          <w:sz w:val="20"/>
          <w:szCs w:val="20"/>
          <w:lang w:val="en-AU"/>
        </w:rPr>
        <w:t>Geophys. Res. Lett</w:t>
      </w:r>
      <w:r w:rsidRPr="004B6A1E">
        <w:rPr>
          <w:rFonts w:ascii="Arial" w:hAnsi="Arial" w:cs="Arial"/>
          <w:sz w:val="20"/>
          <w:szCs w:val="20"/>
          <w:lang w:val="en-AU"/>
        </w:rPr>
        <w:t xml:space="preserve">., </w:t>
      </w:r>
      <w:r w:rsidRPr="004B6A1E">
        <w:rPr>
          <w:rFonts w:ascii="Arial" w:hAnsi="Arial" w:cs="Arial"/>
          <w:b/>
          <w:sz w:val="20"/>
          <w:szCs w:val="20"/>
          <w:lang w:val="en-AU"/>
        </w:rPr>
        <w:t>33</w:t>
      </w:r>
      <w:r w:rsidRPr="004B6A1E">
        <w:rPr>
          <w:rFonts w:ascii="Arial" w:hAnsi="Arial" w:cs="Arial"/>
          <w:sz w:val="20"/>
          <w:szCs w:val="20"/>
          <w:lang w:val="en-AU"/>
        </w:rPr>
        <w:t>, L20702, doi:10.1029/2006GL027951.</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Ren, F., G. Wu, X. Wang, Y. Wang, W. Dong, J. liang, and L. Bai, 2011: Tropical cyclones affecting China over the last 60 years, </w:t>
      </w:r>
      <w:r w:rsidRPr="004B6A1E">
        <w:rPr>
          <w:rFonts w:ascii="Arial" w:hAnsi="Arial" w:cs="Arial"/>
          <w:i/>
          <w:sz w:val="20"/>
          <w:szCs w:val="20"/>
        </w:rPr>
        <w:t>China Meteorological Press</w:t>
      </w:r>
      <w:r w:rsidRPr="004B6A1E">
        <w:rPr>
          <w:rFonts w:ascii="Arial" w:hAnsi="Arial" w:cs="Arial"/>
          <w:sz w:val="20"/>
          <w:szCs w:val="20"/>
        </w:rPr>
        <w:t>, pp203 (in Chinese)</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Rodgers, E.B., R.F. Adler, H.F. Pierce, 2000: Contribution of tropical cyclones to the North Pacific Climatological rainfall as observed from satellites. </w:t>
      </w:r>
      <w:r w:rsidRPr="004B6A1E">
        <w:rPr>
          <w:rFonts w:ascii="Arial" w:hAnsi="Arial" w:cs="Arial"/>
          <w:i/>
          <w:sz w:val="20"/>
          <w:szCs w:val="20"/>
          <w:lang w:val="en-AU"/>
        </w:rPr>
        <w:t>J. Appl. Met</w:t>
      </w:r>
      <w:r w:rsidRPr="004B6A1E">
        <w:rPr>
          <w:rFonts w:ascii="Arial" w:hAnsi="Arial" w:cs="Arial"/>
          <w:sz w:val="20"/>
          <w:szCs w:val="20"/>
          <w:lang w:val="en-AU"/>
        </w:rPr>
        <w:t xml:space="preserve">., </w:t>
      </w:r>
      <w:r w:rsidRPr="004B6A1E">
        <w:rPr>
          <w:rFonts w:ascii="Arial" w:hAnsi="Arial" w:cs="Arial"/>
          <w:b/>
          <w:sz w:val="20"/>
          <w:szCs w:val="20"/>
          <w:lang w:val="en-AU"/>
        </w:rPr>
        <w:t>39</w:t>
      </w:r>
      <w:r w:rsidRPr="004B6A1E">
        <w:rPr>
          <w:rFonts w:ascii="Arial" w:hAnsi="Arial" w:cs="Arial"/>
          <w:sz w:val="20"/>
          <w:szCs w:val="20"/>
          <w:lang w:val="en-AU"/>
        </w:rPr>
        <w:t>, 1658-1678.</w:t>
      </w:r>
    </w:p>
    <w:p w:rsidR="003926B2" w:rsidRPr="004B6A1E" w:rsidRDefault="003926B2" w:rsidP="003926B2">
      <w:pPr>
        <w:spacing w:after="120" w:line="240" w:lineRule="auto"/>
        <w:ind w:left="720" w:hanging="720"/>
        <w:rPr>
          <w:rFonts w:ascii="Arial" w:hAnsi="Arial" w:cs="Arial"/>
          <w:sz w:val="20"/>
          <w:szCs w:val="20"/>
          <w:lang w:val="en-AU"/>
        </w:rPr>
      </w:pPr>
      <w:r w:rsidRPr="004B6A1E">
        <w:rPr>
          <w:rFonts w:ascii="Arial" w:hAnsi="Arial" w:cs="Arial"/>
          <w:sz w:val="20"/>
          <w:szCs w:val="20"/>
          <w:lang w:val="en-AU"/>
        </w:rPr>
        <w:t xml:space="preserve">Rodgers, E.B., R.F. Adler, H.F. Pierce, 2001: Contributions of tropical cyclones to the North Atlantic climatological rainfall as observed from satellites. </w:t>
      </w:r>
      <w:r w:rsidRPr="004B6A1E">
        <w:rPr>
          <w:rFonts w:ascii="Arial" w:hAnsi="Arial" w:cs="Arial"/>
          <w:i/>
          <w:sz w:val="20"/>
          <w:szCs w:val="20"/>
          <w:lang w:val="en-AU"/>
        </w:rPr>
        <w:t>J. Appl. Met</w:t>
      </w:r>
      <w:r w:rsidRPr="004B6A1E">
        <w:rPr>
          <w:rFonts w:ascii="Arial" w:hAnsi="Arial" w:cs="Arial"/>
          <w:sz w:val="20"/>
          <w:szCs w:val="20"/>
          <w:lang w:val="en-AU"/>
        </w:rPr>
        <w:t xml:space="preserve">., </w:t>
      </w:r>
      <w:r w:rsidRPr="004B6A1E">
        <w:rPr>
          <w:rFonts w:ascii="Arial" w:hAnsi="Arial" w:cs="Arial"/>
          <w:b/>
          <w:sz w:val="20"/>
          <w:szCs w:val="20"/>
          <w:lang w:val="en-AU"/>
        </w:rPr>
        <w:t>40</w:t>
      </w:r>
      <w:r w:rsidRPr="004B6A1E">
        <w:rPr>
          <w:rFonts w:ascii="Arial" w:hAnsi="Arial" w:cs="Arial"/>
          <w:sz w:val="20"/>
          <w:szCs w:val="20"/>
          <w:lang w:val="en-AU"/>
        </w:rPr>
        <w:t>, 1785-1800.</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Rogers, R., S. Chen, J. Tenerelli, and H. Willoughby, 2003: A numerical study of the impact of vertical shear on the distribution of rainfall in Hurricane Bonnie (1998).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131</w:t>
      </w:r>
      <w:r w:rsidRPr="004B6A1E">
        <w:rPr>
          <w:rFonts w:ascii="Arial" w:hAnsi="Arial" w:cs="Arial"/>
          <w:sz w:val="20"/>
          <w:szCs w:val="20"/>
        </w:rPr>
        <w:t>, 1577-1599.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lastRenderedPageBreak/>
        <w:t xml:space="preserve">Rogers, R., F. Marks, and T. Marchok, 2009:  Tropical cyclone rainfall.  In </w:t>
      </w:r>
      <w:r w:rsidRPr="004B6A1E">
        <w:rPr>
          <w:rFonts w:ascii="Arial" w:hAnsi="Arial" w:cs="Arial"/>
          <w:i/>
          <w:sz w:val="20"/>
          <w:szCs w:val="20"/>
        </w:rPr>
        <w:t>Encyclopedia of Hydrological Sciences</w:t>
      </w:r>
      <w:r w:rsidRPr="004B6A1E">
        <w:rPr>
          <w:rFonts w:ascii="Arial" w:hAnsi="Arial" w:cs="Arial"/>
          <w:sz w:val="20"/>
          <w:szCs w:val="20"/>
        </w:rPr>
        <w:t>, M.G. Andersen (ed.). John Wiley and Sons, Chicester, UK, doi:10.1002/0470848944.hsa030 2009.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Rowe, S.T., and G. Villarini, 2013:  Flooding associated with predecessor rain events over the Midwest United States, </w:t>
      </w:r>
      <w:r w:rsidRPr="004B6A1E">
        <w:rPr>
          <w:rFonts w:ascii="Arial" w:hAnsi="Arial" w:cs="Arial"/>
          <w:i/>
          <w:sz w:val="20"/>
          <w:szCs w:val="20"/>
        </w:rPr>
        <w:t>Envir. Res. Lett</w:t>
      </w:r>
      <w:r w:rsidRPr="004B6A1E">
        <w:rPr>
          <w:rFonts w:ascii="Arial" w:hAnsi="Arial" w:cs="Arial"/>
          <w:sz w:val="20"/>
          <w:szCs w:val="20"/>
        </w:rPr>
        <w:t xml:space="preserve">., </w:t>
      </w:r>
      <w:r w:rsidRPr="004B6A1E">
        <w:rPr>
          <w:rFonts w:ascii="Arial" w:hAnsi="Arial" w:cs="Arial"/>
          <w:b/>
          <w:sz w:val="20"/>
          <w:szCs w:val="20"/>
        </w:rPr>
        <w:t>8</w:t>
      </w:r>
      <w:r w:rsidRPr="004B6A1E">
        <w:rPr>
          <w:rFonts w:ascii="Arial" w:hAnsi="Arial" w:cs="Arial"/>
          <w:sz w:val="20"/>
          <w:szCs w:val="20"/>
        </w:rPr>
        <w:t>, 1-5.</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Schumacher, R. S., T. J. Galarneau Jr., and L. F. Bosart, 2011: Distant effects of a recurving tropical cyclone on rainfall in a midlatitude convective system: A high-impact predecessor rain event.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139,</w:t>
      </w:r>
      <w:r w:rsidRPr="004B6A1E">
        <w:rPr>
          <w:rFonts w:ascii="Arial" w:hAnsi="Arial" w:cs="Arial"/>
          <w:sz w:val="20"/>
          <w:szCs w:val="20"/>
        </w:rPr>
        <w:t xml:space="preserve"> 650–667.</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Shepherd, J.M., A. Grundstein,  and T.L. Mote, 2007:  Quantifying the contribution of tropical cyclones to extreme rainfall along the coastal southeastern United States.  </w:t>
      </w:r>
      <w:r w:rsidRPr="004B6A1E">
        <w:rPr>
          <w:rFonts w:ascii="Arial" w:hAnsi="Arial" w:cs="Arial"/>
          <w:i/>
          <w:sz w:val="20"/>
          <w:szCs w:val="20"/>
        </w:rPr>
        <w:t>Geophys. Res. Lett</w:t>
      </w:r>
      <w:r w:rsidRPr="004B6A1E">
        <w:rPr>
          <w:rFonts w:ascii="Arial" w:hAnsi="Arial" w:cs="Arial"/>
          <w:sz w:val="20"/>
          <w:szCs w:val="20"/>
        </w:rPr>
        <w:t>., 34, L23810, doi:10.1029/2007GL031694.</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Smith, J.A., G. Villarini, and M.L. Baeck, 2011:  Mixture distributions and the climatology of extreme rainfall and flooding in the Eastern US, </w:t>
      </w:r>
      <w:r w:rsidRPr="004B6A1E">
        <w:rPr>
          <w:rFonts w:ascii="Arial" w:hAnsi="Arial" w:cs="Arial"/>
          <w:i/>
          <w:sz w:val="20"/>
          <w:szCs w:val="20"/>
        </w:rPr>
        <w:t>J. Hydrometeor.</w:t>
      </w:r>
      <w:r w:rsidRPr="004B6A1E">
        <w:rPr>
          <w:rFonts w:ascii="Arial" w:hAnsi="Arial" w:cs="Arial"/>
          <w:sz w:val="20"/>
          <w:szCs w:val="20"/>
        </w:rPr>
        <w:t xml:space="preserve">, </w:t>
      </w:r>
      <w:r w:rsidRPr="004B6A1E">
        <w:rPr>
          <w:rFonts w:ascii="Arial" w:hAnsi="Arial" w:cs="Arial"/>
          <w:b/>
          <w:sz w:val="20"/>
          <w:szCs w:val="20"/>
        </w:rPr>
        <w:t>12</w:t>
      </w:r>
      <w:r w:rsidRPr="004B6A1E">
        <w:rPr>
          <w:rFonts w:ascii="Arial" w:hAnsi="Arial" w:cs="Arial"/>
          <w:sz w:val="20"/>
          <w:szCs w:val="20"/>
        </w:rPr>
        <w:t>(2), 294-309.</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Sturdevant-Rees, P.L., J.A. Smith, J. Morrison, and M.L. Baeck, 2001:  Tropical storms and the flood hydrology of the Central Appalachians, </w:t>
      </w:r>
      <w:r w:rsidRPr="004B6A1E">
        <w:rPr>
          <w:rFonts w:ascii="Arial" w:hAnsi="Arial" w:cs="Arial"/>
          <w:i/>
          <w:sz w:val="20"/>
          <w:szCs w:val="20"/>
        </w:rPr>
        <w:t>Water Resources Research</w:t>
      </w:r>
      <w:r w:rsidRPr="004B6A1E">
        <w:rPr>
          <w:rFonts w:ascii="Arial" w:hAnsi="Arial" w:cs="Arial"/>
          <w:sz w:val="20"/>
          <w:szCs w:val="20"/>
        </w:rPr>
        <w:t xml:space="preserve">, </w:t>
      </w:r>
      <w:r w:rsidRPr="004B6A1E">
        <w:rPr>
          <w:rFonts w:ascii="Arial" w:hAnsi="Arial" w:cs="Arial"/>
          <w:b/>
          <w:sz w:val="20"/>
          <w:szCs w:val="20"/>
        </w:rPr>
        <w:t>37</w:t>
      </w:r>
      <w:r w:rsidRPr="004B6A1E">
        <w:rPr>
          <w:rFonts w:ascii="Arial" w:hAnsi="Arial" w:cs="Arial"/>
          <w:sz w:val="20"/>
          <w:szCs w:val="20"/>
        </w:rPr>
        <w:t>(8), 2143–2168, 2001.</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Ueno, M., 2007: Observational analysis and numerical evaluation of the effects of vertical wind shear on the rainfall asymmetry in the typhoon inner-core region. </w:t>
      </w:r>
      <w:r w:rsidRPr="004B6A1E">
        <w:rPr>
          <w:rFonts w:ascii="Arial" w:hAnsi="Arial" w:cs="Arial"/>
          <w:i/>
          <w:sz w:val="20"/>
          <w:szCs w:val="20"/>
        </w:rPr>
        <w:t>J. Meteor. Soc. Japan</w:t>
      </w:r>
      <w:r w:rsidRPr="004B6A1E">
        <w:rPr>
          <w:rFonts w:ascii="Arial" w:hAnsi="Arial" w:cs="Arial"/>
          <w:sz w:val="20"/>
          <w:szCs w:val="20"/>
        </w:rPr>
        <w:t xml:space="preserve">, </w:t>
      </w:r>
      <w:r w:rsidRPr="004B6A1E">
        <w:rPr>
          <w:rFonts w:ascii="Arial" w:hAnsi="Arial" w:cs="Arial"/>
          <w:b/>
          <w:sz w:val="20"/>
          <w:szCs w:val="20"/>
        </w:rPr>
        <w:t>85</w:t>
      </w:r>
      <w:r w:rsidRPr="004B6A1E">
        <w:rPr>
          <w:rFonts w:ascii="Arial" w:hAnsi="Arial" w:cs="Arial"/>
          <w:sz w:val="20"/>
          <w:szCs w:val="20"/>
        </w:rPr>
        <w:t>, 115-136.</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Ueno, M., 2008: Effects of vertical wind shear on the inner-core asymmetries and vertical tilt of a simulated tropical cyclone. </w:t>
      </w:r>
      <w:r w:rsidRPr="004B6A1E">
        <w:rPr>
          <w:rFonts w:ascii="Arial" w:hAnsi="Arial" w:cs="Arial"/>
          <w:i/>
          <w:sz w:val="20"/>
          <w:szCs w:val="20"/>
        </w:rPr>
        <w:t>J. Meteor. Soc. Japan</w:t>
      </w:r>
      <w:r w:rsidRPr="004B6A1E">
        <w:rPr>
          <w:rFonts w:ascii="Arial" w:hAnsi="Arial" w:cs="Arial"/>
          <w:sz w:val="20"/>
          <w:szCs w:val="20"/>
        </w:rPr>
        <w:t xml:space="preserve">, </w:t>
      </w:r>
      <w:r w:rsidRPr="004B6A1E">
        <w:rPr>
          <w:rFonts w:ascii="Arial" w:hAnsi="Arial" w:cs="Arial"/>
          <w:b/>
          <w:sz w:val="20"/>
          <w:szCs w:val="20"/>
        </w:rPr>
        <w:t>86</w:t>
      </w:r>
      <w:r w:rsidRPr="004B6A1E">
        <w:rPr>
          <w:rFonts w:ascii="Arial" w:hAnsi="Arial" w:cs="Arial"/>
          <w:sz w:val="20"/>
          <w:szCs w:val="20"/>
        </w:rPr>
        <w:t>, 531-555.</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Villarini, G., and J.A. Smith, 2010:  Flood peak distributions for the Eastern United States, </w:t>
      </w:r>
      <w:r w:rsidRPr="004B6A1E">
        <w:rPr>
          <w:rFonts w:ascii="Arial" w:hAnsi="Arial" w:cs="Arial"/>
          <w:i/>
          <w:sz w:val="20"/>
          <w:szCs w:val="20"/>
        </w:rPr>
        <w:t>Water Resources Research</w:t>
      </w:r>
      <w:r w:rsidRPr="004B6A1E">
        <w:rPr>
          <w:rFonts w:ascii="Arial" w:hAnsi="Arial" w:cs="Arial"/>
          <w:sz w:val="20"/>
          <w:szCs w:val="20"/>
        </w:rPr>
        <w:t>, doi:10.1029/2009WR008395, 46, W06504.</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Villarini, G., and J.A. Smith, 2013:  Flooding in Texas: Examination of temporal changes and impacts of tropical cyclones, </w:t>
      </w:r>
      <w:r w:rsidRPr="004B6A1E">
        <w:rPr>
          <w:rFonts w:ascii="Arial" w:hAnsi="Arial" w:cs="Arial"/>
          <w:i/>
          <w:sz w:val="20"/>
          <w:szCs w:val="20"/>
        </w:rPr>
        <w:t>Journal of the American Water Resources Association</w:t>
      </w:r>
      <w:r w:rsidRPr="004B6A1E">
        <w:rPr>
          <w:rFonts w:ascii="Arial" w:hAnsi="Arial" w:cs="Arial"/>
          <w:sz w:val="20"/>
          <w:szCs w:val="20"/>
        </w:rPr>
        <w:t xml:space="preserve">, </w:t>
      </w:r>
      <w:r w:rsidRPr="004B6A1E">
        <w:rPr>
          <w:rFonts w:ascii="Arial" w:hAnsi="Arial" w:cs="Arial"/>
          <w:b/>
          <w:sz w:val="20"/>
          <w:szCs w:val="20"/>
        </w:rPr>
        <w:t>49</w:t>
      </w:r>
      <w:r w:rsidRPr="004B6A1E">
        <w:rPr>
          <w:rFonts w:ascii="Arial" w:hAnsi="Arial" w:cs="Arial"/>
          <w:sz w:val="20"/>
          <w:szCs w:val="20"/>
        </w:rPr>
        <w:t>(4), 825-837.</w:t>
      </w:r>
    </w:p>
    <w:p w:rsidR="003926B2"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Villarini, G., J.A. Smith, M.L. Baeck, T. Marchok, and G.A. Vecchi, 2011:  Characterization of rainfall distribution and flooding associated with U.S. landfalling tropical cyclones: analyses of Hurricanes Frances, Ivan, and Jeanne (2004), </w:t>
      </w:r>
      <w:r w:rsidRPr="004B6A1E">
        <w:rPr>
          <w:rFonts w:ascii="Arial" w:hAnsi="Arial" w:cs="Arial"/>
          <w:i/>
          <w:sz w:val="20"/>
          <w:szCs w:val="20"/>
        </w:rPr>
        <w:t>J. Geophys. Res</w:t>
      </w:r>
      <w:r w:rsidRPr="004B6A1E">
        <w:rPr>
          <w:rFonts w:ascii="Arial" w:hAnsi="Arial" w:cs="Arial"/>
          <w:sz w:val="20"/>
          <w:szCs w:val="20"/>
        </w:rPr>
        <w:t xml:space="preserve">., </w:t>
      </w:r>
      <w:r w:rsidRPr="004B6A1E">
        <w:rPr>
          <w:rFonts w:ascii="Arial" w:hAnsi="Arial" w:cs="Arial"/>
          <w:b/>
          <w:sz w:val="20"/>
          <w:szCs w:val="20"/>
        </w:rPr>
        <w:t>116</w:t>
      </w:r>
      <w:r w:rsidRPr="004B6A1E">
        <w:rPr>
          <w:rFonts w:ascii="Arial" w:hAnsi="Arial" w:cs="Arial"/>
          <w:sz w:val="20"/>
          <w:szCs w:val="20"/>
        </w:rPr>
        <w:t>, D23116, doi:10.1029/2011JD016175.</w:t>
      </w:r>
    </w:p>
    <w:p w:rsidR="00A00458" w:rsidRPr="00A00458" w:rsidRDefault="00A00458" w:rsidP="00A00458">
      <w:pPr>
        <w:spacing w:after="120" w:line="240" w:lineRule="auto"/>
        <w:ind w:left="720" w:hanging="720"/>
        <w:rPr>
          <w:rFonts w:ascii="Arial" w:hAnsi="Arial" w:cs="Arial"/>
          <w:sz w:val="20"/>
          <w:szCs w:val="20"/>
        </w:rPr>
      </w:pPr>
      <w:r w:rsidRPr="00A00458">
        <w:rPr>
          <w:rFonts w:ascii="Arial" w:hAnsi="Arial" w:cs="Arial"/>
          <w:sz w:val="20"/>
          <w:szCs w:val="20"/>
        </w:rPr>
        <w:t xml:space="preserve">Villarini, G., R. Goska, J.A. Smith, and G.A. Vecchi, 2014:  North Atlantic tropical cyclones and U.S. flooding, </w:t>
      </w:r>
      <w:r w:rsidRPr="00A00458">
        <w:rPr>
          <w:rFonts w:ascii="Arial" w:hAnsi="Arial" w:cs="Arial"/>
          <w:i/>
          <w:sz w:val="20"/>
          <w:szCs w:val="20"/>
        </w:rPr>
        <w:t>Bull.  Amer. Meteor. Soc</w:t>
      </w:r>
      <w:r w:rsidRPr="00A00458">
        <w:rPr>
          <w:rFonts w:ascii="Arial" w:hAnsi="Arial" w:cs="Arial"/>
          <w:sz w:val="20"/>
          <w:szCs w:val="20"/>
        </w:rPr>
        <w:t xml:space="preserve">., </w:t>
      </w:r>
      <w:r w:rsidR="00A5347B" w:rsidRPr="00A5347B">
        <w:rPr>
          <w:rFonts w:ascii="Arial" w:hAnsi="Arial" w:cs="Arial"/>
          <w:i/>
          <w:sz w:val="20"/>
          <w:szCs w:val="20"/>
        </w:rPr>
        <w:t>in press</w:t>
      </w:r>
      <w:r w:rsidRPr="00A00458">
        <w:rPr>
          <w:rFonts w:ascii="Arial" w:hAnsi="Arial" w:cs="Arial"/>
          <w:sz w:val="20"/>
          <w:szCs w:val="20"/>
        </w:rPr>
        <w:t>.</w:t>
      </w:r>
      <w:r w:rsidR="00A5347B">
        <w:rPr>
          <w:rFonts w:ascii="Arial" w:hAnsi="Arial" w:cs="Arial"/>
          <w:sz w:val="20"/>
          <w:szCs w:val="20"/>
        </w:rPr>
        <w:t xml:space="preserve">  </w:t>
      </w:r>
      <w:r w:rsidR="00A5347B" w:rsidRPr="00A5347B">
        <w:rPr>
          <w:rFonts w:ascii="Arial" w:hAnsi="Arial" w:cs="Arial"/>
          <w:sz w:val="20"/>
          <w:szCs w:val="20"/>
        </w:rPr>
        <w:t>http://dx.doi.org/10.1175/BAMS-D-13-00060.1</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Wang, Y., Y. Wang, and H. Fudeyasu, 2009: The role of Typhoon Songda (2004) in producing distantly located heavy rainfall in Japan.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137,</w:t>
      </w:r>
      <w:r w:rsidRPr="004B6A1E">
        <w:rPr>
          <w:rFonts w:ascii="Arial" w:hAnsi="Arial" w:cs="Arial"/>
          <w:sz w:val="20"/>
          <w:szCs w:val="20"/>
        </w:rPr>
        <w:t xml:space="preserve"> 3699–3716.</w:t>
      </w:r>
    </w:p>
    <w:p w:rsidR="00700510" w:rsidRPr="004B6A1E" w:rsidRDefault="00700510" w:rsidP="003926B2">
      <w:pPr>
        <w:spacing w:after="120" w:line="240" w:lineRule="auto"/>
        <w:ind w:left="720" w:hanging="720"/>
        <w:rPr>
          <w:rFonts w:ascii="Arial" w:hAnsi="Arial" w:cs="Arial"/>
          <w:sz w:val="20"/>
          <w:szCs w:val="20"/>
        </w:rPr>
      </w:pPr>
      <w:r>
        <w:t xml:space="preserve">Willoughby, H.E.,  F.D. Marks, F.D. </w:t>
      </w:r>
      <w:r w:rsidR="00C91F26">
        <w:t xml:space="preserve"> Jr., and R.</w:t>
      </w:r>
      <w:r>
        <w:t xml:space="preserve"> J. Feinberg, 1984: Stationary and Moving Convective Bands in Hurricanes. </w:t>
      </w:r>
      <w:r>
        <w:rPr>
          <w:i/>
          <w:iCs/>
        </w:rPr>
        <w:t>J. Atmos. Sci.</w:t>
      </w:r>
      <w:r>
        <w:t xml:space="preserve">, </w:t>
      </w:r>
      <w:r>
        <w:rPr>
          <w:b/>
          <w:bCs/>
        </w:rPr>
        <w:t>41</w:t>
      </w:r>
      <w:r>
        <w:t>, 3189–3211.</w:t>
      </w:r>
    </w:p>
    <w:p w:rsidR="003926B2" w:rsidRDefault="003926B2" w:rsidP="003926B2">
      <w:pPr>
        <w:spacing w:after="120" w:line="240" w:lineRule="auto"/>
        <w:ind w:left="720" w:hanging="720"/>
        <w:rPr>
          <w:rFonts w:ascii="Arial" w:eastAsiaTheme="minorEastAsia" w:hAnsi="Arial" w:cs="Arial"/>
          <w:sz w:val="20"/>
          <w:szCs w:val="20"/>
          <w:lang w:eastAsia="zh-CN"/>
        </w:rPr>
      </w:pPr>
      <w:r w:rsidRPr="004B6A1E">
        <w:rPr>
          <w:rFonts w:ascii="Arial" w:hAnsi="Arial" w:cs="Arial"/>
          <w:sz w:val="20"/>
          <w:szCs w:val="20"/>
        </w:rPr>
        <w:t xml:space="preserve">Wingo, M.T. and D.J. Cecil, 2010: Effects of vertical wind shear on tropical cyclone precipitation. </w:t>
      </w:r>
      <w:r w:rsidRPr="004B6A1E">
        <w:rPr>
          <w:rFonts w:ascii="Arial" w:hAnsi="Arial" w:cs="Arial"/>
          <w:i/>
          <w:sz w:val="20"/>
          <w:szCs w:val="20"/>
        </w:rPr>
        <w:t>Mon. Wea. Rev</w:t>
      </w:r>
      <w:r w:rsidRPr="004B6A1E">
        <w:rPr>
          <w:rFonts w:ascii="Arial" w:hAnsi="Arial" w:cs="Arial"/>
          <w:sz w:val="20"/>
          <w:szCs w:val="20"/>
        </w:rPr>
        <w:t xml:space="preserve">., </w:t>
      </w:r>
      <w:r w:rsidRPr="004B6A1E">
        <w:rPr>
          <w:rFonts w:ascii="Arial" w:hAnsi="Arial" w:cs="Arial"/>
          <w:b/>
          <w:sz w:val="20"/>
          <w:szCs w:val="20"/>
        </w:rPr>
        <w:t>138</w:t>
      </w:r>
      <w:r w:rsidRPr="004B6A1E">
        <w:rPr>
          <w:rFonts w:ascii="Arial" w:hAnsi="Arial" w:cs="Arial"/>
          <w:sz w:val="20"/>
          <w:szCs w:val="20"/>
        </w:rPr>
        <w:t>, 645-662.</w:t>
      </w:r>
    </w:p>
    <w:p w:rsidR="00F8367E" w:rsidRPr="00390E9D" w:rsidRDefault="00F8367E" w:rsidP="003926B2">
      <w:pPr>
        <w:spacing w:after="120" w:line="240" w:lineRule="auto"/>
        <w:ind w:left="720" w:hanging="720"/>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Wu, D., K. Zhao, B. J. D. Jou, W. C. Lee, 2013: </w:t>
      </w:r>
      <w:r w:rsidRPr="00F8367E">
        <w:rPr>
          <w:rFonts w:ascii="Arial" w:eastAsiaTheme="minorEastAsia" w:hAnsi="Arial" w:cs="Arial"/>
          <w:sz w:val="20"/>
          <w:szCs w:val="20"/>
          <w:lang w:eastAsia="zh-CN"/>
        </w:rPr>
        <w:t>Radar Observation of Precipitation Asymmetries in Tropical Cyclones Making Landfall on East China Coast[J].</w:t>
      </w:r>
      <w:r w:rsidRPr="00390E9D">
        <w:rPr>
          <w:rFonts w:ascii="Arial" w:eastAsiaTheme="minorEastAsia" w:hAnsi="Arial" w:cs="Arial"/>
          <w:i/>
          <w:sz w:val="20"/>
          <w:szCs w:val="20"/>
          <w:lang w:eastAsia="zh-CN"/>
        </w:rPr>
        <w:t xml:space="preserve"> Tropical Cyclone Research and Review</w:t>
      </w:r>
      <w:r w:rsidRPr="00F8367E">
        <w:rPr>
          <w:rFonts w:ascii="Arial" w:eastAsiaTheme="minorEastAsia" w:hAnsi="Arial" w:cs="Arial"/>
          <w:sz w:val="20"/>
          <w:szCs w:val="20"/>
          <w:lang w:eastAsia="zh-CN"/>
        </w:rPr>
        <w:t xml:space="preserve">, </w:t>
      </w:r>
      <w:r w:rsidRPr="00390E9D">
        <w:rPr>
          <w:rFonts w:ascii="Arial" w:eastAsiaTheme="minorEastAsia" w:hAnsi="Arial" w:cs="Arial"/>
          <w:b/>
          <w:sz w:val="20"/>
          <w:szCs w:val="20"/>
          <w:lang w:eastAsia="zh-CN"/>
        </w:rPr>
        <w:t>2,</w:t>
      </w:r>
      <w:r w:rsidRPr="00F8367E">
        <w:rPr>
          <w:rFonts w:ascii="Arial" w:eastAsiaTheme="minorEastAsia" w:hAnsi="Arial" w:cs="Arial"/>
          <w:sz w:val="20"/>
          <w:szCs w:val="20"/>
          <w:lang w:eastAsia="zh-CN"/>
        </w:rPr>
        <w:t xml:space="preserve"> 81-95.</w:t>
      </w:r>
      <w:r w:rsidRPr="00F8367E">
        <w:t xml:space="preserve"> </w:t>
      </w:r>
      <w:r w:rsidRPr="00F8367E">
        <w:rPr>
          <w:rFonts w:ascii="Arial" w:eastAsiaTheme="minorEastAsia" w:hAnsi="Arial" w:cs="Arial"/>
          <w:sz w:val="20"/>
          <w:szCs w:val="20"/>
          <w:lang w:eastAsia="zh-CN"/>
        </w:rPr>
        <w:t>http://tcrr.typhoon.gov.cn/EN/10.6057/2013TCRR02.02</w:t>
      </w:r>
    </w:p>
    <w:p w:rsidR="000E6CFC" w:rsidRPr="004B6A1E" w:rsidRDefault="000E6CFC" w:rsidP="003926B2">
      <w:pPr>
        <w:spacing w:after="120" w:line="240" w:lineRule="auto"/>
        <w:ind w:left="720" w:hanging="720"/>
        <w:rPr>
          <w:rFonts w:ascii="Arial" w:hAnsi="Arial" w:cs="Arial"/>
          <w:sz w:val="20"/>
          <w:szCs w:val="20"/>
        </w:rPr>
      </w:pPr>
      <w:r w:rsidRPr="000E6CFC">
        <w:rPr>
          <w:rFonts w:ascii="Arial" w:hAnsi="Arial" w:cs="Arial"/>
          <w:sz w:val="20"/>
          <w:szCs w:val="20"/>
        </w:rPr>
        <w:t>Xu, W., H. Jiang, and X. Kang, 2014:</w:t>
      </w:r>
      <w:hyperlink r:id="rId32" w:tgtFrame="_blank" w:history="1">
        <w:r>
          <w:rPr>
            <w:rStyle w:val="Hyperlink"/>
            <w:rFonts w:ascii="Arial" w:hAnsi="Arial" w:cs="Arial"/>
            <w:sz w:val="20"/>
            <w:szCs w:val="20"/>
            <w:u w:val="none"/>
          </w:rPr>
          <w:t xml:space="preserve"> </w:t>
        </w:r>
        <w:r w:rsidRPr="000E6CFC">
          <w:rPr>
            <w:rStyle w:val="Hyperlink"/>
            <w:rFonts w:ascii="Arial" w:hAnsi="Arial" w:cs="Arial"/>
            <w:color w:val="auto"/>
            <w:sz w:val="20"/>
            <w:szCs w:val="20"/>
            <w:u w:val="none"/>
          </w:rPr>
          <w:t>Rainfall Asymmetries of Tropical Cyclones Prior to, During, and After Making Landfall in South China and Southeast United States.</w:t>
        </w:r>
      </w:hyperlink>
      <w:r w:rsidRPr="000E6CFC">
        <w:rPr>
          <w:rFonts w:ascii="Arial" w:hAnsi="Arial" w:cs="Arial"/>
          <w:sz w:val="20"/>
          <w:szCs w:val="20"/>
        </w:rPr>
        <w:t xml:space="preserve"> </w:t>
      </w:r>
      <w:r w:rsidRPr="000E6CFC">
        <w:rPr>
          <w:rFonts w:ascii="Arial" w:hAnsi="Arial" w:cs="Arial"/>
          <w:i/>
          <w:sz w:val="20"/>
          <w:szCs w:val="20"/>
        </w:rPr>
        <w:t>Atmospheric Research</w:t>
      </w:r>
      <w:r w:rsidRPr="000E6CFC">
        <w:rPr>
          <w:rFonts w:ascii="Arial" w:hAnsi="Arial" w:cs="Arial"/>
          <w:sz w:val="20"/>
          <w:szCs w:val="20"/>
        </w:rPr>
        <w:t xml:space="preserve">, </w:t>
      </w:r>
      <w:r w:rsidRPr="000E6CFC">
        <w:rPr>
          <w:rFonts w:ascii="Arial" w:hAnsi="Arial" w:cs="Arial"/>
          <w:b/>
          <w:sz w:val="20"/>
          <w:szCs w:val="20"/>
        </w:rPr>
        <w:t>139</w:t>
      </w:r>
      <w:r w:rsidRPr="000E6CFC">
        <w:rPr>
          <w:rFonts w:ascii="Arial" w:hAnsi="Arial" w:cs="Arial"/>
          <w:sz w:val="20"/>
          <w:szCs w:val="20"/>
        </w:rPr>
        <w:t>, 18-26.</w:t>
      </w:r>
    </w:p>
    <w:p w:rsidR="003926B2" w:rsidRPr="004B6A1E" w:rsidRDefault="003926B2" w:rsidP="003926B2">
      <w:pPr>
        <w:spacing w:after="120" w:line="240" w:lineRule="auto"/>
        <w:ind w:left="720" w:hanging="720"/>
        <w:rPr>
          <w:rFonts w:ascii="Arial" w:hAnsi="Arial" w:cs="Arial"/>
          <w:sz w:val="20"/>
          <w:szCs w:val="20"/>
        </w:rPr>
      </w:pPr>
      <w:r w:rsidRPr="004B6A1E">
        <w:rPr>
          <w:rFonts w:ascii="Arial" w:hAnsi="Arial" w:cs="Arial"/>
          <w:sz w:val="20"/>
          <w:szCs w:val="20"/>
        </w:rPr>
        <w:t xml:space="preserve">Yu, Z., Y. Wang, and H. Xu, 2014: Observed rainfall asymmetry in tropical cyclones making landfall over China. </w:t>
      </w:r>
      <w:r w:rsidRPr="004B6A1E">
        <w:rPr>
          <w:rFonts w:ascii="Arial" w:hAnsi="Arial" w:cs="Arial"/>
          <w:i/>
          <w:sz w:val="20"/>
          <w:szCs w:val="20"/>
        </w:rPr>
        <w:t>J. Appl. Meteor. Clim., in press</w:t>
      </w:r>
      <w:r w:rsidRPr="004B6A1E">
        <w:rPr>
          <w:rFonts w:ascii="Arial" w:hAnsi="Arial" w:cs="Arial"/>
          <w:sz w:val="20"/>
          <w:szCs w:val="20"/>
        </w:rPr>
        <w:t xml:space="preserve">, </w:t>
      </w:r>
      <w:hyperlink r:id="rId33" w:history="1">
        <w:r w:rsidRPr="004B6A1E">
          <w:rPr>
            <w:rStyle w:val="Hyperlink"/>
            <w:rFonts w:ascii="Arial" w:hAnsi="Arial" w:cs="Arial"/>
            <w:sz w:val="20"/>
            <w:szCs w:val="20"/>
          </w:rPr>
          <w:t>http://dx.doi.org/10.1175/JAMC-D-13-0359.1</w:t>
        </w:r>
      </w:hyperlink>
      <w:r w:rsidRPr="004B6A1E">
        <w:rPr>
          <w:rFonts w:ascii="Arial" w:hAnsi="Arial" w:cs="Arial"/>
          <w:sz w:val="20"/>
          <w:szCs w:val="20"/>
        </w:rPr>
        <w:t>.</w:t>
      </w:r>
    </w:p>
    <w:p w:rsidR="00296FB5" w:rsidRPr="001967A7" w:rsidRDefault="003926B2" w:rsidP="001967A7">
      <w:pPr>
        <w:spacing w:after="120" w:line="240" w:lineRule="auto"/>
        <w:ind w:left="720" w:hanging="720"/>
        <w:rPr>
          <w:rFonts w:ascii="Arial" w:hAnsi="Arial" w:cs="Arial"/>
          <w:sz w:val="20"/>
          <w:szCs w:val="20"/>
        </w:rPr>
      </w:pPr>
      <w:r w:rsidRPr="004B6A1E">
        <w:rPr>
          <w:rFonts w:ascii="Arial" w:hAnsi="Arial" w:cs="Arial"/>
          <w:sz w:val="20"/>
          <w:szCs w:val="20"/>
        </w:rPr>
        <w:t xml:space="preserve">Zhang J., L. Wu, F. Ren, and X. Cui, 2013, Changes in Tropical Cyclone Rainfall in China. </w:t>
      </w:r>
      <w:r w:rsidRPr="004B6A1E">
        <w:rPr>
          <w:rFonts w:ascii="Arial" w:hAnsi="Arial" w:cs="Arial"/>
          <w:i/>
          <w:sz w:val="20"/>
          <w:szCs w:val="20"/>
        </w:rPr>
        <w:t>J. Meteorol. Soc. Jpn.</w:t>
      </w:r>
      <w:r w:rsidRPr="004B6A1E">
        <w:rPr>
          <w:rFonts w:ascii="Arial" w:hAnsi="Arial" w:cs="Arial"/>
          <w:sz w:val="20"/>
          <w:szCs w:val="20"/>
        </w:rPr>
        <w:t xml:space="preserve">, </w:t>
      </w:r>
      <w:r w:rsidRPr="004B6A1E">
        <w:rPr>
          <w:rFonts w:ascii="Arial" w:hAnsi="Arial" w:cs="Arial"/>
          <w:b/>
          <w:sz w:val="20"/>
          <w:szCs w:val="20"/>
        </w:rPr>
        <w:t>91</w:t>
      </w:r>
      <w:r w:rsidRPr="004B6A1E">
        <w:rPr>
          <w:rFonts w:ascii="Arial" w:hAnsi="Arial" w:cs="Arial"/>
          <w:sz w:val="20"/>
          <w:szCs w:val="20"/>
        </w:rPr>
        <w:t>, 585-595</w:t>
      </w:r>
    </w:p>
    <w:sectPr w:rsidR="00296FB5" w:rsidRPr="001967A7" w:rsidSect="00EC65B9">
      <w:footerReference w:type="default" r:id="rId34"/>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79E" w:rsidRDefault="0002379E">
      <w:pPr>
        <w:spacing w:after="0" w:line="240" w:lineRule="auto"/>
      </w:pPr>
      <w:r>
        <w:separator/>
      </w:r>
    </w:p>
  </w:endnote>
  <w:endnote w:type="continuationSeparator" w:id="0">
    <w:p w:rsidR="0002379E" w:rsidRDefault="00023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240715"/>
      <w:docPartObj>
        <w:docPartGallery w:val="Page Numbers (Bottom of Page)"/>
        <w:docPartUnique/>
      </w:docPartObj>
    </w:sdtPr>
    <w:sdtEndPr>
      <w:rPr>
        <w:noProof/>
      </w:rPr>
    </w:sdtEndPr>
    <w:sdtContent>
      <w:p w:rsidR="00EC65B9" w:rsidRDefault="00EC65B9">
        <w:pPr>
          <w:pStyle w:val="Footer"/>
          <w:jc w:val="right"/>
        </w:pPr>
        <w:r>
          <w:fldChar w:fldCharType="begin"/>
        </w:r>
        <w:r>
          <w:instrText xml:space="preserve"> PAGE   \* MERGEFORMAT </w:instrText>
        </w:r>
        <w:r>
          <w:fldChar w:fldCharType="separate"/>
        </w:r>
        <w:r w:rsidR="007F1324">
          <w:rPr>
            <w:noProof/>
          </w:rPr>
          <w:t>2</w:t>
        </w:r>
        <w:r>
          <w:rPr>
            <w:noProof/>
          </w:rPr>
          <w:fldChar w:fldCharType="end"/>
        </w:r>
      </w:p>
    </w:sdtContent>
  </w:sdt>
  <w:p w:rsidR="00EC65B9" w:rsidRDefault="00EC65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79E" w:rsidRDefault="0002379E">
      <w:pPr>
        <w:spacing w:after="0" w:line="240" w:lineRule="auto"/>
      </w:pPr>
      <w:r>
        <w:separator/>
      </w:r>
    </w:p>
  </w:footnote>
  <w:footnote w:type="continuationSeparator" w:id="0">
    <w:p w:rsidR="0002379E" w:rsidRDefault="000237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D5B3B"/>
    <w:multiLevelType w:val="hybridMultilevel"/>
    <w:tmpl w:val="EED401E6"/>
    <w:lvl w:ilvl="0" w:tplc="7C1E238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743450F"/>
    <w:multiLevelType w:val="hybridMultilevel"/>
    <w:tmpl w:val="54640CEE"/>
    <w:lvl w:ilvl="0" w:tplc="03C87EEA">
      <w:start w:val="1"/>
      <w:numFmt w:val="decimal"/>
      <w:lvlText w:val="%1."/>
      <w:lvlJc w:val="left"/>
      <w:pPr>
        <w:ind w:left="360" w:hanging="360"/>
      </w:pPr>
      <w:rPr>
        <w:rFonts w:eastAsia="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6B2"/>
    <w:rsid w:val="00016746"/>
    <w:rsid w:val="0002379E"/>
    <w:rsid w:val="00041DD8"/>
    <w:rsid w:val="00072AA3"/>
    <w:rsid w:val="00074A9A"/>
    <w:rsid w:val="000A362D"/>
    <w:rsid w:val="000E6CFC"/>
    <w:rsid w:val="00123148"/>
    <w:rsid w:val="001967A7"/>
    <w:rsid w:val="001B3580"/>
    <w:rsid w:val="00205855"/>
    <w:rsid w:val="0021612E"/>
    <w:rsid w:val="00245B63"/>
    <w:rsid w:val="00274F79"/>
    <w:rsid w:val="00296FB5"/>
    <w:rsid w:val="002C7BA0"/>
    <w:rsid w:val="00361BE9"/>
    <w:rsid w:val="00373B60"/>
    <w:rsid w:val="00390E9D"/>
    <w:rsid w:val="003926B2"/>
    <w:rsid w:val="003B267D"/>
    <w:rsid w:val="004804AA"/>
    <w:rsid w:val="004B6A1E"/>
    <w:rsid w:val="004D3C2F"/>
    <w:rsid w:val="004E5FC1"/>
    <w:rsid w:val="005162F6"/>
    <w:rsid w:val="005E4652"/>
    <w:rsid w:val="00637E95"/>
    <w:rsid w:val="00680219"/>
    <w:rsid w:val="006959BD"/>
    <w:rsid w:val="006A3C8A"/>
    <w:rsid w:val="006E190C"/>
    <w:rsid w:val="006E728B"/>
    <w:rsid w:val="00700510"/>
    <w:rsid w:val="00747514"/>
    <w:rsid w:val="00786E24"/>
    <w:rsid w:val="00796649"/>
    <w:rsid w:val="007C6F6B"/>
    <w:rsid w:val="007D5251"/>
    <w:rsid w:val="007D62AF"/>
    <w:rsid w:val="007F1324"/>
    <w:rsid w:val="007F4CDF"/>
    <w:rsid w:val="007F7B26"/>
    <w:rsid w:val="0080168D"/>
    <w:rsid w:val="00826D23"/>
    <w:rsid w:val="008573D9"/>
    <w:rsid w:val="00893719"/>
    <w:rsid w:val="008B0835"/>
    <w:rsid w:val="0090687F"/>
    <w:rsid w:val="00912355"/>
    <w:rsid w:val="00977D01"/>
    <w:rsid w:val="00985988"/>
    <w:rsid w:val="009925FD"/>
    <w:rsid w:val="00A00458"/>
    <w:rsid w:val="00A1525B"/>
    <w:rsid w:val="00A379BC"/>
    <w:rsid w:val="00A5347B"/>
    <w:rsid w:val="00A566BA"/>
    <w:rsid w:val="00AB3850"/>
    <w:rsid w:val="00AE6A2A"/>
    <w:rsid w:val="00AE7246"/>
    <w:rsid w:val="00B61689"/>
    <w:rsid w:val="00B76833"/>
    <w:rsid w:val="00BA4787"/>
    <w:rsid w:val="00C36135"/>
    <w:rsid w:val="00C36181"/>
    <w:rsid w:val="00C52FDD"/>
    <w:rsid w:val="00C91F26"/>
    <w:rsid w:val="00CA201E"/>
    <w:rsid w:val="00CC3016"/>
    <w:rsid w:val="00CC4961"/>
    <w:rsid w:val="00D767D0"/>
    <w:rsid w:val="00D90F69"/>
    <w:rsid w:val="00E33486"/>
    <w:rsid w:val="00E746F5"/>
    <w:rsid w:val="00E867E8"/>
    <w:rsid w:val="00E93B46"/>
    <w:rsid w:val="00EA1622"/>
    <w:rsid w:val="00EC6039"/>
    <w:rsid w:val="00EC65B9"/>
    <w:rsid w:val="00ED022E"/>
    <w:rsid w:val="00ED63FF"/>
    <w:rsid w:val="00F4598E"/>
    <w:rsid w:val="00F8367E"/>
    <w:rsid w:val="00F83BC7"/>
    <w:rsid w:val="00F952B6"/>
    <w:rsid w:val="00FE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6B2"/>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3926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6B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autoRedefine/>
    <w:qFormat/>
    <w:rsid w:val="003926B2"/>
    <w:pPr>
      <w:tabs>
        <w:tab w:val="center" w:pos="4153"/>
        <w:tab w:val="right" w:pos="8306"/>
      </w:tabs>
    </w:pPr>
  </w:style>
  <w:style w:type="character" w:customStyle="1" w:styleId="HeaderChar">
    <w:name w:val="Header Char"/>
    <w:basedOn w:val="DefaultParagraphFont"/>
    <w:link w:val="Header"/>
    <w:rsid w:val="003926B2"/>
    <w:rPr>
      <w:rFonts w:asciiTheme="minorHAnsi" w:eastAsiaTheme="minorHAnsi" w:hAnsiTheme="minorHAnsi" w:cstheme="minorBidi"/>
      <w:sz w:val="22"/>
      <w:szCs w:val="22"/>
    </w:rPr>
  </w:style>
  <w:style w:type="paragraph" w:customStyle="1" w:styleId="Titleblock">
    <w:name w:val="Title block"/>
    <w:basedOn w:val="Normal"/>
    <w:next w:val="Normal"/>
    <w:rsid w:val="003926B2"/>
    <w:pPr>
      <w:spacing w:after="0"/>
    </w:pPr>
  </w:style>
  <w:style w:type="character" w:customStyle="1" w:styleId="scdddoi">
    <w:name w:val="s_c_dddoi"/>
    <w:basedOn w:val="DefaultParagraphFont"/>
    <w:rsid w:val="003926B2"/>
  </w:style>
  <w:style w:type="character" w:customStyle="1" w:styleId="nlmstring-name">
    <w:name w:val="nlm_string-name"/>
    <w:basedOn w:val="DefaultParagraphFont"/>
    <w:rsid w:val="003926B2"/>
  </w:style>
  <w:style w:type="paragraph" w:styleId="BalloonText">
    <w:name w:val="Balloon Text"/>
    <w:basedOn w:val="Normal"/>
    <w:link w:val="BalloonTextChar"/>
    <w:uiPriority w:val="99"/>
    <w:semiHidden/>
    <w:unhideWhenUsed/>
    <w:rsid w:val="00392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6B2"/>
    <w:rPr>
      <w:rFonts w:ascii="Tahoma" w:eastAsiaTheme="minorHAnsi" w:hAnsi="Tahoma" w:cs="Tahoma"/>
      <w:sz w:val="16"/>
      <w:szCs w:val="16"/>
    </w:rPr>
  </w:style>
  <w:style w:type="paragraph" w:styleId="Footer">
    <w:name w:val="footer"/>
    <w:basedOn w:val="Normal"/>
    <w:link w:val="FooterChar"/>
    <w:uiPriority w:val="99"/>
    <w:unhideWhenUsed/>
    <w:rsid w:val="00392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6B2"/>
    <w:rPr>
      <w:rFonts w:asciiTheme="minorHAnsi" w:eastAsiaTheme="minorHAnsi" w:hAnsiTheme="minorHAnsi" w:cstheme="minorBidi"/>
      <w:sz w:val="22"/>
      <w:szCs w:val="22"/>
    </w:rPr>
  </w:style>
  <w:style w:type="paragraph" w:styleId="ListParagraph">
    <w:name w:val="List Paragraph"/>
    <w:basedOn w:val="Normal"/>
    <w:uiPriority w:val="34"/>
    <w:qFormat/>
    <w:rsid w:val="003926B2"/>
    <w:pPr>
      <w:ind w:left="720"/>
      <w:contextualSpacing/>
    </w:pPr>
  </w:style>
  <w:style w:type="character" w:styleId="Hyperlink">
    <w:name w:val="Hyperlink"/>
    <w:basedOn w:val="DefaultParagraphFont"/>
    <w:uiPriority w:val="99"/>
    <w:unhideWhenUsed/>
    <w:rsid w:val="003926B2"/>
    <w:rPr>
      <w:color w:val="0000FF" w:themeColor="hyperlink"/>
      <w:u w:val="single"/>
    </w:rPr>
  </w:style>
  <w:style w:type="character" w:styleId="LineNumber">
    <w:name w:val="line number"/>
    <w:basedOn w:val="DefaultParagraphFont"/>
    <w:uiPriority w:val="99"/>
    <w:semiHidden/>
    <w:unhideWhenUsed/>
    <w:rsid w:val="003926B2"/>
  </w:style>
  <w:style w:type="character" w:styleId="CommentReference">
    <w:name w:val="annotation reference"/>
    <w:basedOn w:val="DefaultParagraphFont"/>
    <w:uiPriority w:val="99"/>
    <w:semiHidden/>
    <w:unhideWhenUsed/>
    <w:rsid w:val="00F952B6"/>
    <w:rPr>
      <w:sz w:val="21"/>
      <w:szCs w:val="21"/>
    </w:rPr>
  </w:style>
  <w:style w:type="paragraph" w:styleId="CommentText">
    <w:name w:val="annotation text"/>
    <w:basedOn w:val="Normal"/>
    <w:link w:val="CommentTextChar"/>
    <w:uiPriority w:val="99"/>
    <w:semiHidden/>
    <w:unhideWhenUsed/>
    <w:rsid w:val="00F952B6"/>
  </w:style>
  <w:style w:type="character" w:customStyle="1" w:styleId="CommentTextChar">
    <w:name w:val="Comment Text Char"/>
    <w:basedOn w:val="DefaultParagraphFont"/>
    <w:link w:val="CommentText"/>
    <w:uiPriority w:val="99"/>
    <w:semiHidden/>
    <w:rsid w:val="00F952B6"/>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F952B6"/>
    <w:rPr>
      <w:b/>
      <w:bCs/>
    </w:rPr>
  </w:style>
  <w:style w:type="character" w:customStyle="1" w:styleId="CommentSubjectChar">
    <w:name w:val="Comment Subject Char"/>
    <w:basedOn w:val="CommentTextChar"/>
    <w:link w:val="CommentSubject"/>
    <w:uiPriority w:val="99"/>
    <w:semiHidden/>
    <w:rsid w:val="00F952B6"/>
    <w:rPr>
      <w:rFonts w:asciiTheme="minorHAnsi" w:eastAsiaTheme="minorHAnsi" w:hAnsiTheme="minorHAnsi" w:cstheme="minorBidi"/>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6B2"/>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3926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6B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autoRedefine/>
    <w:qFormat/>
    <w:rsid w:val="003926B2"/>
    <w:pPr>
      <w:tabs>
        <w:tab w:val="center" w:pos="4153"/>
        <w:tab w:val="right" w:pos="8306"/>
      </w:tabs>
    </w:pPr>
  </w:style>
  <w:style w:type="character" w:customStyle="1" w:styleId="HeaderChar">
    <w:name w:val="Header Char"/>
    <w:basedOn w:val="DefaultParagraphFont"/>
    <w:link w:val="Header"/>
    <w:rsid w:val="003926B2"/>
    <w:rPr>
      <w:rFonts w:asciiTheme="minorHAnsi" w:eastAsiaTheme="minorHAnsi" w:hAnsiTheme="minorHAnsi" w:cstheme="minorBidi"/>
      <w:sz w:val="22"/>
      <w:szCs w:val="22"/>
    </w:rPr>
  </w:style>
  <w:style w:type="paragraph" w:customStyle="1" w:styleId="Titleblock">
    <w:name w:val="Title block"/>
    <w:basedOn w:val="Normal"/>
    <w:next w:val="Normal"/>
    <w:rsid w:val="003926B2"/>
    <w:pPr>
      <w:spacing w:after="0"/>
    </w:pPr>
  </w:style>
  <w:style w:type="character" w:customStyle="1" w:styleId="scdddoi">
    <w:name w:val="s_c_dddoi"/>
    <w:basedOn w:val="DefaultParagraphFont"/>
    <w:rsid w:val="003926B2"/>
  </w:style>
  <w:style w:type="character" w:customStyle="1" w:styleId="nlmstring-name">
    <w:name w:val="nlm_string-name"/>
    <w:basedOn w:val="DefaultParagraphFont"/>
    <w:rsid w:val="003926B2"/>
  </w:style>
  <w:style w:type="paragraph" w:styleId="BalloonText">
    <w:name w:val="Balloon Text"/>
    <w:basedOn w:val="Normal"/>
    <w:link w:val="BalloonTextChar"/>
    <w:uiPriority w:val="99"/>
    <w:semiHidden/>
    <w:unhideWhenUsed/>
    <w:rsid w:val="00392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6B2"/>
    <w:rPr>
      <w:rFonts w:ascii="Tahoma" w:eastAsiaTheme="minorHAnsi" w:hAnsi="Tahoma" w:cs="Tahoma"/>
      <w:sz w:val="16"/>
      <w:szCs w:val="16"/>
    </w:rPr>
  </w:style>
  <w:style w:type="paragraph" w:styleId="Footer">
    <w:name w:val="footer"/>
    <w:basedOn w:val="Normal"/>
    <w:link w:val="FooterChar"/>
    <w:uiPriority w:val="99"/>
    <w:unhideWhenUsed/>
    <w:rsid w:val="00392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6B2"/>
    <w:rPr>
      <w:rFonts w:asciiTheme="minorHAnsi" w:eastAsiaTheme="minorHAnsi" w:hAnsiTheme="minorHAnsi" w:cstheme="minorBidi"/>
      <w:sz w:val="22"/>
      <w:szCs w:val="22"/>
    </w:rPr>
  </w:style>
  <w:style w:type="paragraph" w:styleId="ListParagraph">
    <w:name w:val="List Paragraph"/>
    <w:basedOn w:val="Normal"/>
    <w:uiPriority w:val="34"/>
    <w:qFormat/>
    <w:rsid w:val="003926B2"/>
    <w:pPr>
      <w:ind w:left="720"/>
      <w:contextualSpacing/>
    </w:pPr>
  </w:style>
  <w:style w:type="character" w:styleId="Hyperlink">
    <w:name w:val="Hyperlink"/>
    <w:basedOn w:val="DefaultParagraphFont"/>
    <w:uiPriority w:val="99"/>
    <w:unhideWhenUsed/>
    <w:rsid w:val="003926B2"/>
    <w:rPr>
      <w:color w:val="0000FF" w:themeColor="hyperlink"/>
      <w:u w:val="single"/>
    </w:rPr>
  </w:style>
  <w:style w:type="character" w:styleId="LineNumber">
    <w:name w:val="line number"/>
    <w:basedOn w:val="DefaultParagraphFont"/>
    <w:uiPriority w:val="99"/>
    <w:semiHidden/>
    <w:unhideWhenUsed/>
    <w:rsid w:val="003926B2"/>
  </w:style>
  <w:style w:type="character" w:styleId="CommentReference">
    <w:name w:val="annotation reference"/>
    <w:basedOn w:val="DefaultParagraphFont"/>
    <w:uiPriority w:val="99"/>
    <w:semiHidden/>
    <w:unhideWhenUsed/>
    <w:rsid w:val="00F952B6"/>
    <w:rPr>
      <w:sz w:val="21"/>
      <w:szCs w:val="21"/>
    </w:rPr>
  </w:style>
  <w:style w:type="paragraph" w:styleId="CommentText">
    <w:name w:val="annotation text"/>
    <w:basedOn w:val="Normal"/>
    <w:link w:val="CommentTextChar"/>
    <w:uiPriority w:val="99"/>
    <w:semiHidden/>
    <w:unhideWhenUsed/>
    <w:rsid w:val="00F952B6"/>
  </w:style>
  <w:style w:type="character" w:customStyle="1" w:styleId="CommentTextChar">
    <w:name w:val="Comment Text Char"/>
    <w:basedOn w:val="DefaultParagraphFont"/>
    <w:link w:val="CommentText"/>
    <w:uiPriority w:val="99"/>
    <w:semiHidden/>
    <w:rsid w:val="00F952B6"/>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F952B6"/>
    <w:rPr>
      <w:b/>
      <w:bCs/>
    </w:rPr>
  </w:style>
  <w:style w:type="character" w:customStyle="1" w:styleId="CommentSubjectChar">
    <w:name w:val="Comment Subject Char"/>
    <w:basedOn w:val="CommentTextChar"/>
    <w:link w:val="CommentSubject"/>
    <w:uiPriority w:val="99"/>
    <w:semiHidden/>
    <w:rsid w:val="00F952B6"/>
    <w:rPr>
      <w:rFonts w:asciiTheme="minorHAnsi" w:eastAsiaTheme="minorHAnsi" w:hAnsiTheme="minorHAnsi" w:cstheme="minorBid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tif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yperlink" Target="http://dx.doi.org/10.1175/JAMC-D-13-0359.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yperlink" Target="http://tcpf.fiu.edu/Jiang/research/Xu_et_al_AR_2014.pdf" TargetMode="Externa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12463</Words>
  <Characters>71040</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pjones</dc:creator>
  <cp:lastModifiedBy>Robert Rogers</cp:lastModifiedBy>
  <cp:revision>2</cp:revision>
  <cp:lastPrinted>2014-10-21T20:28:00Z</cp:lastPrinted>
  <dcterms:created xsi:type="dcterms:W3CDTF">2014-11-03T19:24:00Z</dcterms:created>
  <dcterms:modified xsi:type="dcterms:W3CDTF">2014-11-03T19:24:00Z</dcterms:modified>
</cp:coreProperties>
</file>