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8B" w:rsidRPr="00377F74" w:rsidRDefault="00454C8B" w:rsidP="00377F74">
      <w:pPr>
        <w:jc w:val="center"/>
        <w:rPr>
          <w:b/>
          <w:sz w:val="28"/>
          <w:szCs w:val="28"/>
        </w:rPr>
      </w:pPr>
      <w:r w:rsidRPr="00454C8B">
        <w:rPr>
          <w:b/>
          <w:sz w:val="28"/>
          <w:szCs w:val="28"/>
        </w:rPr>
        <w:t>Tropical Cyclone Severe Wind Risk Analysis</w:t>
      </w:r>
      <w:r w:rsidR="00D12ED8">
        <w:rPr>
          <w:b/>
          <w:sz w:val="28"/>
          <w:szCs w:val="28"/>
        </w:rPr>
        <w:t xml:space="preserve"> for GMMA</w:t>
      </w:r>
    </w:p>
    <w:p w:rsidR="00895742" w:rsidRPr="00377F74" w:rsidRDefault="00895742" w:rsidP="005000DE">
      <w:pPr>
        <w:autoSpaceDE w:val="0"/>
        <w:autoSpaceDN w:val="0"/>
        <w:adjustRightInd w:val="0"/>
        <w:spacing w:after="0" w:line="240" w:lineRule="auto"/>
        <w:jc w:val="center"/>
        <w:rPr>
          <w:rFonts w:cs="Times New Roman"/>
          <w:b/>
          <w:sz w:val="20"/>
          <w:szCs w:val="20"/>
        </w:rPr>
      </w:pPr>
    </w:p>
    <w:p w:rsidR="00C106D6" w:rsidRPr="00377F74" w:rsidRDefault="00D155AE" w:rsidP="00E14C01">
      <w:pPr>
        <w:pStyle w:val="Default"/>
        <w:spacing w:line="240" w:lineRule="exact"/>
        <w:ind w:firstLine="630"/>
        <w:jc w:val="center"/>
        <w:rPr>
          <w:rFonts w:asciiTheme="minorHAnsi" w:hAnsiTheme="minorHAnsi"/>
          <w:sz w:val="20"/>
          <w:szCs w:val="20"/>
        </w:rPr>
      </w:pPr>
      <w:r w:rsidRPr="00377F74">
        <w:rPr>
          <w:rFonts w:asciiTheme="minorHAnsi" w:hAnsiTheme="minorHAnsi"/>
          <w:sz w:val="20"/>
          <w:szCs w:val="20"/>
        </w:rPr>
        <w:t>M.A. Cecilia Monteverde</w:t>
      </w:r>
      <w:r w:rsidRPr="00377F74">
        <w:rPr>
          <w:rFonts w:asciiTheme="minorHAnsi" w:hAnsiTheme="minorHAnsi"/>
          <w:sz w:val="20"/>
          <w:szCs w:val="20"/>
          <w:vertAlign w:val="superscript"/>
        </w:rPr>
        <w:t>1</w:t>
      </w:r>
      <w:proofErr w:type="gramStart"/>
      <w:r w:rsidRPr="00377F74">
        <w:rPr>
          <w:rFonts w:asciiTheme="minorHAnsi" w:hAnsiTheme="minorHAnsi"/>
          <w:sz w:val="20"/>
          <w:szCs w:val="20"/>
        </w:rPr>
        <w:t>,</w:t>
      </w:r>
      <w:r w:rsidRPr="00D155AE">
        <w:rPr>
          <w:rFonts w:asciiTheme="minorHAnsi" w:hAnsiTheme="minorHAnsi"/>
          <w:b/>
          <w:sz w:val="20"/>
          <w:szCs w:val="20"/>
          <w:u w:val="single"/>
        </w:rPr>
        <w:t>T</w:t>
      </w:r>
      <w:r w:rsidR="00FE5224" w:rsidRPr="00D155AE">
        <w:rPr>
          <w:rFonts w:asciiTheme="minorHAnsi" w:hAnsiTheme="minorHAnsi"/>
          <w:b/>
          <w:sz w:val="20"/>
          <w:szCs w:val="20"/>
          <w:u w:val="single"/>
        </w:rPr>
        <w:t>helma</w:t>
      </w:r>
      <w:proofErr w:type="gramEnd"/>
      <w:r w:rsidR="00FE5224" w:rsidRPr="00D155AE">
        <w:rPr>
          <w:rFonts w:asciiTheme="minorHAnsi" w:hAnsiTheme="minorHAnsi"/>
          <w:b/>
          <w:sz w:val="20"/>
          <w:szCs w:val="20"/>
          <w:u w:val="single"/>
        </w:rPr>
        <w:t>. A. Cinco</w:t>
      </w:r>
      <w:r w:rsidR="00FE5224" w:rsidRPr="00D155AE">
        <w:rPr>
          <w:rFonts w:asciiTheme="minorHAnsi" w:hAnsiTheme="minorHAnsi"/>
          <w:b/>
          <w:sz w:val="20"/>
          <w:szCs w:val="20"/>
          <w:u w:val="single"/>
          <w:vertAlign w:val="superscript"/>
        </w:rPr>
        <w:t>1</w:t>
      </w:r>
      <w:r w:rsidR="00FE5224" w:rsidRPr="00377F74">
        <w:rPr>
          <w:rFonts w:asciiTheme="minorHAnsi" w:hAnsiTheme="minorHAnsi"/>
          <w:sz w:val="20"/>
          <w:szCs w:val="20"/>
        </w:rPr>
        <w:t>,</w:t>
      </w:r>
      <w:r w:rsidR="00C106D6" w:rsidRPr="00377F74">
        <w:rPr>
          <w:rFonts w:asciiTheme="minorHAnsi" w:hAnsiTheme="minorHAnsi"/>
          <w:sz w:val="20"/>
          <w:szCs w:val="20"/>
        </w:rPr>
        <w:t xml:space="preserve"> </w:t>
      </w:r>
      <w:proofErr w:type="spellStart"/>
      <w:r w:rsidR="00C106D6" w:rsidRPr="00377F74">
        <w:rPr>
          <w:rFonts w:asciiTheme="minorHAnsi" w:hAnsiTheme="minorHAnsi"/>
          <w:sz w:val="20"/>
          <w:szCs w:val="20"/>
        </w:rPr>
        <w:t>Flaviana</w:t>
      </w:r>
      <w:proofErr w:type="spellEnd"/>
      <w:r w:rsidR="00C106D6" w:rsidRPr="00377F74">
        <w:rPr>
          <w:rFonts w:asciiTheme="minorHAnsi" w:hAnsiTheme="minorHAnsi"/>
          <w:sz w:val="20"/>
          <w:szCs w:val="20"/>
        </w:rPr>
        <w:t xml:space="preserve"> D. Hilario</w:t>
      </w:r>
      <w:r w:rsidR="00C106D6" w:rsidRPr="00377F74">
        <w:rPr>
          <w:rFonts w:asciiTheme="minorHAnsi" w:hAnsiTheme="minorHAnsi"/>
          <w:sz w:val="20"/>
          <w:szCs w:val="20"/>
          <w:vertAlign w:val="superscript"/>
        </w:rPr>
        <w:t>1</w:t>
      </w:r>
      <w:r w:rsidR="00C106D6" w:rsidRPr="00377F74">
        <w:rPr>
          <w:rFonts w:asciiTheme="minorHAnsi" w:hAnsiTheme="minorHAnsi"/>
          <w:sz w:val="20"/>
          <w:szCs w:val="20"/>
        </w:rPr>
        <w:t>, Cynthia P. Celebre</w:t>
      </w:r>
      <w:r w:rsidR="00C106D6" w:rsidRPr="00377F74">
        <w:rPr>
          <w:rFonts w:asciiTheme="minorHAnsi" w:hAnsiTheme="minorHAnsi"/>
          <w:sz w:val="20"/>
          <w:szCs w:val="20"/>
          <w:vertAlign w:val="superscript"/>
        </w:rPr>
        <w:t>1</w:t>
      </w:r>
      <w:r w:rsidR="00C106D6" w:rsidRPr="00377F74">
        <w:rPr>
          <w:rFonts w:asciiTheme="minorHAnsi" w:hAnsiTheme="minorHAnsi"/>
          <w:sz w:val="20"/>
          <w:szCs w:val="20"/>
        </w:rPr>
        <w:t xml:space="preserve">, </w:t>
      </w:r>
      <w:proofErr w:type="spellStart"/>
      <w:r w:rsidR="00C106D6" w:rsidRPr="00377F74">
        <w:rPr>
          <w:rFonts w:asciiTheme="minorHAnsi" w:hAnsiTheme="minorHAnsi"/>
          <w:sz w:val="20"/>
          <w:szCs w:val="20"/>
        </w:rPr>
        <w:t>Analiza</w:t>
      </w:r>
      <w:proofErr w:type="spellEnd"/>
      <w:r w:rsidR="00C106D6" w:rsidRPr="00377F74">
        <w:rPr>
          <w:rFonts w:asciiTheme="minorHAnsi" w:hAnsiTheme="minorHAnsi"/>
          <w:sz w:val="20"/>
          <w:szCs w:val="20"/>
        </w:rPr>
        <w:t xml:space="preserve"> Tuddao</w:t>
      </w:r>
      <w:r w:rsidR="00C106D6" w:rsidRPr="00377F74">
        <w:rPr>
          <w:rFonts w:asciiTheme="minorHAnsi" w:hAnsiTheme="minorHAnsi"/>
          <w:sz w:val="20"/>
          <w:szCs w:val="20"/>
          <w:vertAlign w:val="superscript"/>
        </w:rPr>
        <w:t>1</w:t>
      </w:r>
      <w:r w:rsidR="00C106D6" w:rsidRPr="00377F74">
        <w:rPr>
          <w:rFonts w:asciiTheme="minorHAnsi" w:hAnsiTheme="minorHAnsi"/>
          <w:sz w:val="20"/>
          <w:szCs w:val="20"/>
        </w:rPr>
        <w:t>, Emma Ares</w:t>
      </w:r>
      <w:r w:rsidR="00C106D6" w:rsidRPr="00377F74">
        <w:rPr>
          <w:rFonts w:asciiTheme="minorHAnsi" w:hAnsiTheme="minorHAnsi"/>
          <w:sz w:val="20"/>
          <w:szCs w:val="20"/>
          <w:vertAlign w:val="superscript"/>
        </w:rPr>
        <w:t>1</w:t>
      </w:r>
      <w:r w:rsidR="00C106D6" w:rsidRPr="00377F74">
        <w:rPr>
          <w:rFonts w:asciiTheme="minorHAnsi" w:hAnsiTheme="minorHAnsi"/>
          <w:sz w:val="20"/>
          <w:szCs w:val="20"/>
        </w:rPr>
        <w:t xml:space="preserve"> and W. Craig Arthur</w:t>
      </w:r>
      <w:r w:rsidR="00C106D6" w:rsidRPr="00377F74">
        <w:rPr>
          <w:rFonts w:asciiTheme="minorHAnsi" w:hAnsiTheme="minorHAnsi"/>
          <w:sz w:val="20"/>
          <w:szCs w:val="20"/>
          <w:vertAlign w:val="superscript"/>
        </w:rPr>
        <w:t>2</w:t>
      </w:r>
    </w:p>
    <w:p w:rsidR="00A24F69" w:rsidRPr="00377F74" w:rsidRDefault="00A24F69" w:rsidP="00454C8B">
      <w:pPr>
        <w:autoSpaceDE w:val="0"/>
        <w:autoSpaceDN w:val="0"/>
        <w:adjustRightInd w:val="0"/>
        <w:spacing w:after="0" w:line="240" w:lineRule="exact"/>
        <w:jc w:val="center"/>
        <w:rPr>
          <w:rFonts w:cs="Times New Roman"/>
          <w:b/>
          <w:sz w:val="20"/>
          <w:szCs w:val="20"/>
        </w:rPr>
      </w:pPr>
    </w:p>
    <w:p w:rsidR="00454C8B" w:rsidRPr="00454C8B" w:rsidRDefault="00454C8B" w:rsidP="00EE3110">
      <w:pPr>
        <w:pStyle w:val="Default"/>
        <w:spacing w:line="240" w:lineRule="exact"/>
        <w:ind w:firstLine="450"/>
        <w:jc w:val="center"/>
        <w:rPr>
          <w:rFonts w:asciiTheme="minorHAnsi" w:hAnsiTheme="minorHAnsi"/>
          <w:sz w:val="20"/>
          <w:szCs w:val="20"/>
        </w:rPr>
      </w:pPr>
      <w:r w:rsidRPr="00454C8B">
        <w:rPr>
          <w:rFonts w:asciiTheme="minorHAnsi" w:hAnsiTheme="minorHAnsi" w:cstheme="minorBidi"/>
          <w:color w:val="auto"/>
          <w:sz w:val="22"/>
          <w:szCs w:val="22"/>
          <w:vertAlign w:val="superscript"/>
        </w:rPr>
        <w:t>1</w:t>
      </w:r>
      <w:r w:rsidRPr="00454C8B">
        <w:rPr>
          <w:rFonts w:asciiTheme="minorHAnsi" w:hAnsiTheme="minorHAnsi"/>
          <w:sz w:val="20"/>
          <w:szCs w:val="20"/>
        </w:rPr>
        <w:t>Philippine Atmospheric, Geophysical and Astronomical Services Administration,</w:t>
      </w:r>
      <w:r w:rsidR="00EE3110">
        <w:rPr>
          <w:rFonts w:asciiTheme="minorHAnsi" w:hAnsiTheme="minorHAnsi"/>
          <w:sz w:val="20"/>
          <w:szCs w:val="20"/>
        </w:rPr>
        <w:t xml:space="preserve"> </w:t>
      </w:r>
      <w:proofErr w:type="spellStart"/>
      <w:r w:rsidRPr="00454C8B">
        <w:rPr>
          <w:rFonts w:asciiTheme="minorHAnsi" w:hAnsiTheme="minorHAnsi"/>
          <w:sz w:val="20"/>
          <w:szCs w:val="20"/>
        </w:rPr>
        <w:t>Diliman</w:t>
      </w:r>
      <w:proofErr w:type="spellEnd"/>
      <w:r w:rsidRPr="00454C8B">
        <w:rPr>
          <w:rFonts w:asciiTheme="minorHAnsi" w:hAnsiTheme="minorHAnsi"/>
          <w:sz w:val="20"/>
          <w:szCs w:val="20"/>
        </w:rPr>
        <w:t xml:space="preserve"> 1101, Quezon City</w:t>
      </w:r>
    </w:p>
    <w:p w:rsidR="00B30647" w:rsidRDefault="00454C8B" w:rsidP="00EE3110">
      <w:pPr>
        <w:autoSpaceDE w:val="0"/>
        <w:autoSpaceDN w:val="0"/>
        <w:adjustRightInd w:val="0"/>
        <w:spacing w:after="0" w:line="240" w:lineRule="auto"/>
        <w:jc w:val="center"/>
        <w:rPr>
          <w:rFonts w:cs="Times New Roman"/>
          <w:color w:val="000000"/>
          <w:sz w:val="20"/>
          <w:szCs w:val="20"/>
        </w:rPr>
      </w:pPr>
      <w:r w:rsidRPr="00454C8B">
        <w:rPr>
          <w:vertAlign w:val="superscript"/>
        </w:rPr>
        <w:t>2</w:t>
      </w:r>
      <w:r w:rsidRPr="00454C8B">
        <w:rPr>
          <w:rFonts w:cs="Times New Roman"/>
          <w:color w:val="000000"/>
          <w:sz w:val="20"/>
          <w:szCs w:val="20"/>
        </w:rPr>
        <w:t>Geoscience Australia</w:t>
      </w:r>
    </w:p>
    <w:p w:rsidR="00454C8B" w:rsidRDefault="00454C8B" w:rsidP="00454C8B">
      <w:pPr>
        <w:autoSpaceDE w:val="0"/>
        <w:autoSpaceDN w:val="0"/>
        <w:adjustRightInd w:val="0"/>
        <w:spacing w:after="0" w:line="240" w:lineRule="auto"/>
        <w:jc w:val="center"/>
        <w:rPr>
          <w:rFonts w:cs="Times New Roman"/>
          <w:color w:val="000000"/>
          <w:sz w:val="20"/>
          <w:szCs w:val="20"/>
        </w:rPr>
      </w:pPr>
    </w:p>
    <w:p w:rsidR="00454C8B" w:rsidRDefault="00454C8B" w:rsidP="00454C8B">
      <w:pPr>
        <w:jc w:val="center"/>
        <w:rPr>
          <w:b/>
        </w:rPr>
      </w:pPr>
      <w:r>
        <w:rPr>
          <w:b/>
        </w:rPr>
        <w:t>ABSTRACT</w:t>
      </w:r>
    </w:p>
    <w:p w:rsidR="00C27175" w:rsidRPr="00377F74" w:rsidRDefault="00C27175" w:rsidP="00B30647">
      <w:pPr>
        <w:autoSpaceDE w:val="0"/>
        <w:autoSpaceDN w:val="0"/>
        <w:adjustRightInd w:val="0"/>
        <w:spacing w:after="0" w:line="240" w:lineRule="auto"/>
        <w:rPr>
          <w:rFonts w:cs="Times New Roman"/>
          <w:sz w:val="20"/>
          <w:szCs w:val="20"/>
        </w:rPr>
      </w:pPr>
    </w:p>
    <w:p w:rsidR="00D12ED8" w:rsidRDefault="0072611C" w:rsidP="004B1040">
      <w:pPr>
        <w:pStyle w:val="Default"/>
        <w:ind w:firstLine="720"/>
        <w:jc w:val="both"/>
        <w:rPr>
          <w:rFonts w:asciiTheme="minorHAnsi" w:hAnsiTheme="minorHAnsi"/>
        </w:rPr>
      </w:pPr>
      <w:r w:rsidRPr="00377F74">
        <w:rPr>
          <w:rFonts w:asciiTheme="minorHAnsi" w:hAnsiTheme="minorHAnsi"/>
          <w:sz w:val="20"/>
          <w:szCs w:val="20"/>
        </w:rPr>
        <w:t xml:space="preserve">In this study, a </w:t>
      </w:r>
      <w:r w:rsidR="00B30647" w:rsidRPr="00377F74">
        <w:rPr>
          <w:rFonts w:asciiTheme="minorHAnsi" w:hAnsiTheme="minorHAnsi"/>
          <w:sz w:val="20"/>
          <w:szCs w:val="20"/>
        </w:rPr>
        <w:t xml:space="preserve">tropical cyclone severe wind hazard modeling and mapping for </w:t>
      </w:r>
      <w:r w:rsidR="00D12ED8">
        <w:rPr>
          <w:rFonts w:asciiTheme="minorHAnsi" w:hAnsiTheme="minorHAnsi"/>
          <w:sz w:val="20"/>
          <w:szCs w:val="20"/>
        </w:rPr>
        <w:t xml:space="preserve">Greater </w:t>
      </w:r>
      <w:r w:rsidR="00B30647" w:rsidRPr="00377F74">
        <w:rPr>
          <w:rFonts w:asciiTheme="minorHAnsi" w:hAnsiTheme="minorHAnsi"/>
          <w:sz w:val="20"/>
          <w:szCs w:val="20"/>
        </w:rPr>
        <w:t>Metro Manila</w:t>
      </w:r>
      <w:r w:rsidR="00D12ED8">
        <w:rPr>
          <w:rFonts w:asciiTheme="minorHAnsi" w:hAnsiTheme="minorHAnsi"/>
          <w:sz w:val="20"/>
          <w:szCs w:val="20"/>
        </w:rPr>
        <w:t xml:space="preserve"> </w:t>
      </w:r>
      <w:proofErr w:type="gramStart"/>
      <w:r w:rsidR="00D12ED8">
        <w:rPr>
          <w:rFonts w:asciiTheme="minorHAnsi" w:hAnsiTheme="minorHAnsi"/>
          <w:sz w:val="20"/>
          <w:szCs w:val="20"/>
        </w:rPr>
        <w:t>Area(</w:t>
      </w:r>
      <w:proofErr w:type="gramEnd"/>
      <w:r w:rsidR="00D12ED8">
        <w:rPr>
          <w:rFonts w:asciiTheme="minorHAnsi" w:hAnsiTheme="minorHAnsi"/>
          <w:sz w:val="20"/>
          <w:szCs w:val="20"/>
        </w:rPr>
        <w:t>GMMA)</w:t>
      </w:r>
      <w:r w:rsidR="00B30647" w:rsidRPr="00377F74">
        <w:rPr>
          <w:rFonts w:asciiTheme="minorHAnsi" w:hAnsiTheme="minorHAnsi"/>
          <w:sz w:val="20"/>
          <w:szCs w:val="20"/>
        </w:rPr>
        <w:t xml:space="preserve"> </w:t>
      </w:r>
      <w:r w:rsidR="005360B7" w:rsidRPr="00377F74">
        <w:rPr>
          <w:rFonts w:asciiTheme="minorHAnsi" w:hAnsiTheme="minorHAnsi"/>
          <w:sz w:val="20"/>
          <w:szCs w:val="20"/>
        </w:rPr>
        <w:t xml:space="preserve">is presented.  This study used </w:t>
      </w:r>
      <w:r w:rsidR="00FA4CD4" w:rsidRPr="00377F74">
        <w:rPr>
          <w:rFonts w:asciiTheme="minorHAnsi" w:hAnsiTheme="minorHAnsi"/>
          <w:sz w:val="20"/>
          <w:szCs w:val="20"/>
        </w:rPr>
        <w:t>Tropical Cyclone</w:t>
      </w:r>
      <w:r w:rsidR="00C27175" w:rsidRPr="00377F74">
        <w:rPr>
          <w:rFonts w:asciiTheme="minorHAnsi" w:hAnsiTheme="minorHAnsi"/>
          <w:sz w:val="20"/>
          <w:szCs w:val="20"/>
        </w:rPr>
        <w:t xml:space="preserve"> Risk</w:t>
      </w:r>
      <w:r w:rsidR="00FA4CD4" w:rsidRPr="00377F74">
        <w:rPr>
          <w:rFonts w:asciiTheme="minorHAnsi" w:hAnsiTheme="minorHAnsi"/>
          <w:sz w:val="20"/>
          <w:szCs w:val="20"/>
        </w:rPr>
        <w:t xml:space="preserve"> Model (TCRM) developed by </w:t>
      </w:r>
      <w:proofErr w:type="spellStart"/>
      <w:r w:rsidR="00FA4CD4" w:rsidRPr="00377F74">
        <w:rPr>
          <w:rFonts w:asciiTheme="minorHAnsi" w:hAnsiTheme="minorHAnsi"/>
          <w:sz w:val="20"/>
          <w:szCs w:val="20"/>
        </w:rPr>
        <w:t>GeoScience</w:t>
      </w:r>
      <w:proofErr w:type="spellEnd"/>
      <w:r w:rsidR="00FA4CD4" w:rsidRPr="00377F74">
        <w:rPr>
          <w:rFonts w:asciiTheme="minorHAnsi" w:hAnsiTheme="minorHAnsi"/>
          <w:sz w:val="20"/>
          <w:szCs w:val="20"/>
        </w:rPr>
        <w:t xml:space="preserve"> Australia</w:t>
      </w:r>
      <w:r w:rsidR="005360B7" w:rsidRPr="00377F74">
        <w:rPr>
          <w:rFonts w:asciiTheme="minorHAnsi" w:hAnsiTheme="minorHAnsi"/>
          <w:sz w:val="20"/>
          <w:szCs w:val="20"/>
        </w:rPr>
        <w:t xml:space="preserve"> as part of </w:t>
      </w:r>
      <w:r w:rsidR="00FA4CD4" w:rsidRPr="00377F74">
        <w:rPr>
          <w:rFonts w:asciiTheme="minorHAnsi" w:hAnsiTheme="minorHAnsi"/>
          <w:sz w:val="20"/>
          <w:szCs w:val="20"/>
        </w:rPr>
        <w:t xml:space="preserve">the </w:t>
      </w:r>
      <w:proofErr w:type="spellStart"/>
      <w:r w:rsidR="00B30647" w:rsidRPr="00377F74">
        <w:rPr>
          <w:rFonts w:asciiTheme="minorHAnsi" w:hAnsiTheme="minorHAnsi"/>
          <w:sz w:val="20"/>
          <w:szCs w:val="20"/>
        </w:rPr>
        <w:t>AusAID</w:t>
      </w:r>
      <w:proofErr w:type="spellEnd"/>
      <w:r w:rsidR="00B30647" w:rsidRPr="00377F74">
        <w:rPr>
          <w:rFonts w:asciiTheme="minorHAnsi" w:hAnsiTheme="minorHAnsi"/>
          <w:sz w:val="20"/>
          <w:szCs w:val="20"/>
        </w:rPr>
        <w:t xml:space="preserve"> project</w:t>
      </w:r>
      <w:r w:rsidR="00FA4CD4" w:rsidRPr="00377F74">
        <w:rPr>
          <w:rFonts w:asciiTheme="minorHAnsi" w:hAnsiTheme="minorHAnsi"/>
          <w:sz w:val="20"/>
          <w:szCs w:val="20"/>
        </w:rPr>
        <w:t xml:space="preserve"> on Capacity Enhancement on Risk Analysis in collaboration with </w:t>
      </w:r>
      <w:proofErr w:type="spellStart"/>
      <w:r w:rsidR="00FA4CD4" w:rsidRPr="00377F74">
        <w:rPr>
          <w:rFonts w:asciiTheme="minorHAnsi" w:hAnsiTheme="minorHAnsi"/>
          <w:sz w:val="20"/>
          <w:szCs w:val="20"/>
        </w:rPr>
        <w:t>GeoScience</w:t>
      </w:r>
      <w:proofErr w:type="spellEnd"/>
      <w:r w:rsidR="00FA4CD4" w:rsidRPr="00377F74">
        <w:rPr>
          <w:rFonts w:asciiTheme="minorHAnsi" w:hAnsiTheme="minorHAnsi"/>
          <w:sz w:val="20"/>
          <w:szCs w:val="20"/>
        </w:rPr>
        <w:t xml:space="preserve"> Australia</w:t>
      </w:r>
      <w:r w:rsidR="006A3526" w:rsidRPr="00377F74">
        <w:rPr>
          <w:rFonts w:asciiTheme="minorHAnsi" w:hAnsiTheme="minorHAnsi"/>
          <w:sz w:val="20"/>
          <w:szCs w:val="20"/>
        </w:rPr>
        <w:t xml:space="preserve"> (GA)</w:t>
      </w:r>
      <w:r w:rsidR="00B30647" w:rsidRPr="00377F74">
        <w:rPr>
          <w:rFonts w:asciiTheme="minorHAnsi" w:hAnsiTheme="minorHAnsi"/>
          <w:sz w:val="20"/>
          <w:szCs w:val="20"/>
        </w:rPr>
        <w:t xml:space="preserve">.  Historical </w:t>
      </w:r>
      <w:r w:rsidR="00D15A17" w:rsidRPr="00377F74">
        <w:rPr>
          <w:rFonts w:asciiTheme="minorHAnsi" w:hAnsiTheme="minorHAnsi"/>
          <w:sz w:val="20"/>
          <w:szCs w:val="20"/>
        </w:rPr>
        <w:t xml:space="preserve">tracks </w:t>
      </w:r>
      <w:r w:rsidR="00B30647" w:rsidRPr="00377F74">
        <w:rPr>
          <w:rFonts w:asciiTheme="minorHAnsi" w:hAnsiTheme="minorHAnsi"/>
          <w:sz w:val="20"/>
          <w:szCs w:val="20"/>
        </w:rPr>
        <w:t>of tropical cyclone</w:t>
      </w:r>
      <w:r w:rsidR="006A3526" w:rsidRPr="00377F74">
        <w:rPr>
          <w:rFonts w:asciiTheme="minorHAnsi" w:hAnsiTheme="minorHAnsi"/>
          <w:sz w:val="20"/>
          <w:szCs w:val="20"/>
        </w:rPr>
        <w:t>s</w:t>
      </w:r>
      <w:r w:rsidR="00B30647" w:rsidRPr="00377F74">
        <w:rPr>
          <w:rFonts w:asciiTheme="minorHAnsi" w:hAnsiTheme="minorHAnsi"/>
          <w:sz w:val="20"/>
          <w:szCs w:val="20"/>
        </w:rPr>
        <w:t xml:space="preserve"> </w:t>
      </w:r>
      <w:r w:rsidR="00D15A17" w:rsidRPr="00377F74">
        <w:rPr>
          <w:rFonts w:asciiTheme="minorHAnsi" w:hAnsiTheme="minorHAnsi"/>
          <w:sz w:val="20"/>
          <w:szCs w:val="20"/>
        </w:rPr>
        <w:t xml:space="preserve">affecting the Philippine Area of Responsibility (PAR) </w:t>
      </w:r>
      <w:r w:rsidR="00B30647" w:rsidRPr="00377F74">
        <w:rPr>
          <w:rFonts w:asciiTheme="minorHAnsi" w:hAnsiTheme="minorHAnsi"/>
          <w:sz w:val="20"/>
          <w:szCs w:val="20"/>
        </w:rPr>
        <w:t xml:space="preserve">for the period 1950 to 2011 were </w:t>
      </w:r>
      <w:r w:rsidR="00FA4CD4" w:rsidRPr="00377F74">
        <w:rPr>
          <w:rFonts w:asciiTheme="minorHAnsi" w:hAnsiTheme="minorHAnsi"/>
          <w:sz w:val="20"/>
          <w:szCs w:val="20"/>
        </w:rPr>
        <w:t>used to quantify the hazard due to severe wind</w:t>
      </w:r>
      <w:r w:rsidR="00B30647" w:rsidRPr="00377F74">
        <w:rPr>
          <w:rFonts w:asciiTheme="minorHAnsi" w:hAnsiTheme="minorHAnsi"/>
          <w:sz w:val="20"/>
          <w:szCs w:val="20"/>
        </w:rPr>
        <w:t xml:space="preserve">.  </w:t>
      </w:r>
      <w:r w:rsidR="00FA4CD4" w:rsidRPr="00377F74">
        <w:rPr>
          <w:rFonts w:asciiTheme="minorHAnsi" w:hAnsiTheme="minorHAnsi"/>
          <w:sz w:val="20"/>
          <w:szCs w:val="20"/>
        </w:rPr>
        <w:t>Statistical and</w:t>
      </w:r>
      <w:r w:rsidR="005360B7" w:rsidRPr="00377F74">
        <w:rPr>
          <w:rFonts w:asciiTheme="minorHAnsi" w:hAnsiTheme="minorHAnsi"/>
          <w:sz w:val="20"/>
          <w:szCs w:val="20"/>
        </w:rPr>
        <w:t xml:space="preserve"> </w:t>
      </w:r>
      <w:r w:rsidR="00FA4CD4" w:rsidRPr="00377F74">
        <w:rPr>
          <w:rFonts w:asciiTheme="minorHAnsi" w:hAnsiTheme="minorHAnsi"/>
          <w:sz w:val="20"/>
          <w:szCs w:val="20"/>
        </w:rPr>
        <w:t xml:space="preserve">probabilistic approaches using </w:t>
      </w:r>
      <w:r w:rsidR="00285FE0" w:rsidRPr="00377F74">
        <w:rPr>
          <w:rFonts w:asciiTheme="minorHAnsi" w:hAnsiTheme="minorHAnsi"/>
          <w:sz w:val="20"/>
          <w:szCs w:val="20"/>
        </w:rPr>
        <w:t xml:space="preserve">the </w:t>
      </w:r>
      <w:r w:rsidR="00C87FF8" w:rsidRPr="00377F74">
        <w:rPr>
          <w:rFonts w:asciiTheme="minorHAnsi" w:hAnsiTheme="minorHAnsi"/>
          <w:sz w:val="20"/>
          <w:szCs w:val="20"/>
        </w:rPr>
        <w:t>General Extreme Value</w:t>
      </w:r>
      <w:r w:rsidR="006A3526" w:rsidRPr="00377F74">
        <w:rPr>
          <w:rFonts w:asciiTheme="minorHAnsi" w:hAnsiTheme="minorHAnsi"/>
          <w:sz w:val="20"/>
          <w:szCs w:val="20"/>
        </w:rPr>
        <w:t xml:space="preserve"> (GEV)</w:t>
      </w:r>
      <w:r w:rsidR="00C87FF8" w:rsidRPr="00377F74">
        <w:rPr>
          <w:rFonts w:asciiTheme="minorHAnsi" w:hAnsiTheme="minorHAnsi"/>
          <w:sz w:val="20"/>
          <w:szCs w:val="20"/>
        </w:rPr>
        <w:t xml:space="preserve"> and the G</w:t>
      </w:r>
      <w:r w:rsidR="00285FE0" w:rsidRPr="00377F74">
        <w:rPr>
          <w:rFonts w:asciiTheme="minorHAnsi" w:hAnsiTheme="minorHAnsi"/>
          <w:sz w:val="20"/>
          <w:szCs w:val="20"/>
        </w:rPr>
        <w:t xml:space="preserve">eneralized </w:t>
      </w:r>
      <w:r w:rsidR="00FA4CD4" w:rsidRPr="00377F74">
        <w:rPr>
          <w:rFonts w:asciiTheme="minorHAnsi" w:hAnsiTheme="minorHAnsi"/>
          <w:sz w:val="20"/>
          <w:szCs w:val="20"/>
        </w:rPr>
        <w:t xml:space="preserve">Pareto </w:t>
      </w:r>
      <w:r w:rsidR="006A3526" w:rsidRPr="00377F74">
        <w:rPr>
          <w:rFonts w:asciiTheme="minorHAnsi" w:hAnsiTheme="minorHAnsi"/>
          <w:sz w:val="20"/>
          <w:szCs w:val="20"/>
        </w:rPr>
        <w:t>Distribution</w:t>
      </w:r>
      <w:r w:rsidR="00C87FF8" w:rsidRPr="00377F74">
        <w:rPr>
          <w:rFonts w:asciiTheme="minorHAnsi" w:hAnsiTheme="minorHAnsi"/>
          <w:sz w:val="20"/>
          <w:szCs w:val="20"/>
        </w:rPr>
        <w:t xml:space="preserve"> </w:t>
      </w:r>
      <w:r w:rsidR="006A3526" w:rsidRPr="00377F74">
        <w:rPr>
          <w:rFonts w:asciiTheme="minorHAnsi" w:hAnsiTheme="minorHAnsi"/>
          <w:sz w:val="20"/>
          <w:szCs w:val="20"/>
        </w:rPr>
        <w:t xml:space="preserve">(GPD) </w:t>
      </w:r>
      <w:r w:rsidR="00C87FF8" w:rsidRPr="00377F74">
        <w:rPr>
          <w:rFonts w:asciiTheme="minorHAnsi" w:hAnsiTheme="minorHAnsi"/>
          <w:sz w:val="20"/>
          <w:szCs w:val="20"/>
        </w:rPr>
        <w:t xml:space="preserve">analyses </w:t>
      </w:r>
      <w:r w:rsidR="00FA4CD4" w:rsidRPr="00377F74">
        <w:rPr>
          <w:rFonts w:asciiTheme="minorHAnsi" w:hAnsiTheme="minorHAnsi"/>
          <w:sz w:val="20"/>
          <w:szCs w:val="20"/>
        </w:rPr>
        <w:t xml:space="preserve">are used to model the gust wind speeds.  </w:t>
      </w:r>
      <w:r w:rsidR="00D15A17" w:rsidRPr="00377F74">
        <w:rPr>
          <w:rFonts w:asciiTheme="minorHAnsi" w:hAnsiTheme="minorHAnsi"/>
          <w:sz w:val="20"/>
          <w:szCs w:val="20"/>
        </w:rPr>
        <w:t xml:space="preserve">The </w:t>
      </w:r>
      <w:r w:rsidR="00FA4CD4" w:rsidRPr="00377F74">
        <w:rPr>
          <w:rFonts w:asciiTheme="minorHAnsi" w:hAnsiTheme="minorHAnsi"/>
          <w:sz w:val="20"/>
          <w:szCs w:val="20"/>
        </w:rPr>
        <w:t xml:space="preserve">Regional </w:t>
      </w:r>
      <w:r w:rsidR="00D15A17" w:rsidRPr="00377F74">
        <w:rPr>
          <w:rFonts w:asciiTheme="minorHAnsi" w:hAnsiTheme="minorHAnsi"/>
          <w:sz w:val="20"/>
          <w:szCs w:val="20"/>
        </w:rPr>
        <w:t xml:space="preserve">maximum wind </w:t>
      </w:r>
      <w:r w:rsidR="00FA4CD4" w:rsidRPr="00377F74">
        <w:rPr>
          <w:rFonts w:asciiTheme="minorHAnsi" w:hAnsiTheme="minorHAnsi"/>
          <w:sz w:val="20"/>
          <w:szCs w:val="20"/>
        </w:rPr>
        <w:t>hazard map</w:t>
      </w:r>
      <w:r w:rsidR="005360B7" w:rsidRPr="00377F74">
        <w:rPr>
          <w:rFonts w:asciiTheme="minorHAnsi" w:hAnsiTheme="minorHAnsi"/>
          <w:sz w:val="20"/>
          <w:szCs w:val="20"/>
        </w:rPr>
        <w:t>s for various return periods</w:t>
      </w:r>
      <w:r w:rsidR="00FA4CD4" w:rsidRPr="00377F74">
        <w:rPr>
          <w:rFonts w:asciiTheme="minorHAnsi" w:hAnsiTheme="minorHAnsi"/>
          <w:sz w:val="20"/>
          <w:szCs w:val="20"/>
        </w:rPr>
        <w:t xml:space="preserve"> </w:t>
      </w:r>
      <w:r w:rsidR="005360B7" w:rsidRPr="00377F74">
        <w:rPr>
          <w:rFonts w:asciiTheme="minorHAnsi" w:hAnsiTheme="minorHAnsi"/>
          <w:sz w:val="20"/>
          <w:szCs w:val="20"/>
        </w:rPr>
        <w:t>were</w:t>
      </w:r>
      <w:r w:rsidR="00FA4CD4" w:rsidRPr="00377F74">
        <w:rPr>
          <w:rFonts w:asciiTheme="minorHAnsi" w:hAnsiTheme="minorHAnsi"/>
          <w:sz w:val="20"/>
          <w:szCs w:val="20"/>
        </w:rPr>
        <w:t xml:space="preserve"> generated for the whole Philippines</w:t>
      </w:r>
      <w:r w:rsidR="00D15A17" w:rsidRPr="00377F74">
        <w:rPr>
          <w:rFonts w:asciiTheme="minorHAnsi" w:hAnsiTheme="minorHAnsi"/>
          <w:sz w:val="20"/>
          <w:szCs w:val="20"/>
        </w:rPr>
        <w:t xml:space="preserve"> using the Powell Method</w:t>
      </w:r>
      <w:r w:rsidR="00FA4CD4" w:rsidRPr="00377F74">
        <w:rPr>
          <w:rFonts w:asciiTheme="minorHAnsi" w:hAnsiTheme="minorHAnsi"/>
          <w:sz w:val="20"/>
          <w:szCs w:val="20"/>
        </w:rPr>
        <w:t xml:space="preserve">.  </w:t>
      </w:r>
      <w:r w:rsidRPr="00377F74">
        <w:rPr>
          <w:rFonts w:asciiTheme="minorHAnsi" w:hAnsiTheme="minorHAnsi"/>
          <w:sz w:val="20"/>
          <w:szCs w:val="20"/>
        </w:rPr>
        <w:t>T</w:t>
      </w:r>
      <w:r w:rsidR="00FA4CD4" w:rsidRPr="00377F74">
        <w:rPr>
          <w:rFonts w:asciiTheme="minorHAnsi" w:hAnsiTheme="minorHAnsi"/>
          <w:sz w:val="20"/>
          <w:szCs w:val="20"/>
        </w:rPr>
        <w:t xml:space="preserve">he </w:t>
      </w:r>
      <w:r w:rsidR="00D15A17" w:rsidRPr="00377F74">
        <w:rPr>
          <w:rFonts w:asciiTheme="minorHAnsi" w:hAnsiTheme="minorHAnsi"/>
          <w:sz w:val="20"/>
          <w:szCs w:val="20"/>
        </w:rPr>
        <w:t>model output is combined with the analys</w:t>
      </w:r>
      <w:r w:rsidR="005000DE" w:rsidRPr="00377F74">
        <w:rPr>
          <w:rFonts w:asciiTheme="minorHAnsi" w:hAnsiTheme="minorHAnsi"/>
          <w:sz w:val="20"/>
          <w:szCs w:val="20"/>
        </w:rPr>
        <w:t xml:space="preserve">is of the return period of the </w:t>
      </w:r>
      <w:r w:rsidRPr="00377F74">
        <w:rPr>
          <w:rFonts w:asciiTheme="minorHAnsi" w:hAnsiTheme="minorHAnsi"/>
          <w:sz w:val="20"/>
          <w:szCs w:val="20"/>
        </w:rPr>
        <w:t xml:space="preserve">observed </w:t>
      </w:r>
      <w:r w:rsidR="00D15A17" w:rsidRPr="00377F74">
        <w:rPr>
          <w:rFonts w:asciiTheme="minorHAnsi" w:hAnsiTheme="minorHAnsi"/>
          <w:sz w:val="20"/>
          <w:szCs w:val="20"/>
        </w:rPr>
        <w:t xml:space="preserve">maximum </w:t>
      </w:r>
      <w:r w:rsidRPr="00377F74">
        <w:rPr>
          <w:rFonts w:asciiTheme="minorHAnsi" w:hAnsiTheme="minorHAnsi"/>
          <w:sz w:val="20"/>
          <w:szCs w:val="20"/>
        </w:rPr>
        <w:t xml:space="preserve">wind </w:t>
      </w:r>
      <w:r w:rsidR="00D15A17" w:rsidRPr="00377F74">
        <w:rPr>
          <w:rFonts w:asciiTheme="minorHAnsi" w:hAnsiTheme="minorHAnsi"/>
          <w:sz w:val="20"/>
          <w:szCs w:val="20"/>
        </w:rPr>
        <w:t>speed (3-second peak gust)</w:t>
      </w:r>
      <w:r w:rsidRPr="00377F74">
        <w:rPr>
          <w:rFonts w:asciiTheme="minorHAnsi" w:hAnsiTheme="minorHAnsi"/>
          <w:sz w:val="20"/>
          <w:szCs w:val="20"/>
        </w:rPr>
        <w:t xml:space="preserve"> </w:t>
      </w:r>
      <w:r w:rsidR="00D15A17" w:rsidRPr="00377F74">
        <w:rPr>
          <w:rFonts w:asciiTheme="minorHAnsi" w:hAnsiTheme="minorHAnsi"/>
          <w:sz w:val="20"/>
          <w:szCs w:val="20"/>
        </w:rPr>
        <w:t>from 51 synoptic</w:t>
      </w:r>
      <w:r w:rsidR="00CC326A" w:rsidRPr="00377F74">
        <w:rPr>
          <w:rFonts w:asciiTheme="minorHAnsi" w:hAnsiTheme="minorHAnsi"/>
          <w:sz w:val="20"/>
          <w:szCs w:val="20"/>
        </w:rPr>
        <w:t xml:space="preserve"> that have at least 30 years of record for the period 1951 to 2011</w:t>
      </w:r>
      <w:r w:rsidRPr="00377F74">
        <w:rPr>
          <w:rFonts w:asciiTheme="minorHAnsi" w:hAnsiTheme="minorHAnsi"/>
          <w:sz w:val="20"/>
          <w:szCs w:val="20"/>
        </w:rPr>
        <w:t xml:space="preserve"> to validate </w:t>
      </w:r>
      <w:r w:rsidR="00C87FF8" w:rsidRPr="00377F74">
        <w:rPr>
          <w:rFonts w:asciiTheme="minorHAnsi" w:hAnsiTheme="minorHAnsi"/>
          <w:sz w:val="20"/>
          <w:szCs w:val="20"/>
        </w:rPr>
        <w:t xml:space="preserve">the </w:t>
      </w:r>
      <w:r w:rsidR="006A3526" w:rsidRPr="00377F74">
        <w:rPr>
          <w:rFonts w:asciiTheme="minorHAnsi" w:hAnsiTheme="minorHAnsi"/>
          <w:sz w:val="20"/>
          <w:szCs w:val="20"/>
        </w:rPr>
        <w:t xml:space="preserve">various </w:t>
      </w:r>
      <w:r w:rsidR="00C87FF8" w:rsidRPr="00377F74">
        <w:rPr>
          <w:rFonts w:asciiTheme="minorHAnsi" w:hAnsiTheme="minorHAnsi"/>
          <w:sz w:val="20"/>
          <w:szCs w:val="20"/>
        </w:rPr>
        <w:t>return period</w:t>
      </w:r>
      <w:r w:rsidR="006A3526" w:rsidRPr="00377F74">
        <w:rPr>
          <w:rFonts w:asciiTheme="minorHAnsi" w:hAnsiTheme="minorHAnsi"/>
          <w:sz w:val="20"/>
          <w:szCs w:val="20"/>
        </w:rPr>
        <w:t>s (RPs)</w:t>
      </w:r>
      <w:r w:rsidR="00C87FF8" w:rsidRPr="00377F74">
        <w:rPr>
          <w:rFonts w:asciiTheme="minorHAnsi" w:hAnsiTheme="minorHAnsi"/>
          <w:sz w:val="20"/>
          <w:szCs w:val="20"/>
        </w:rPr>
        <w:t xml:space="preserve"> of </w:t>
      </w:r>
      <w:r w:rsidRPr="00377F74">
        <w:rPr>
          <w:rFonts w:asciiTheme="minorHAnsi" w:hAnsiTheme="minorHAnsi"/>
          <w:sz w:val="20"/>
          <w:szCs w:val="20"/>
        </w:rPr>
        <w:t>maximum wind gust</w:t>
      </w:r>
      <w:r w:rsidR="00FA4CD4" w:rsidRPr="00377F74">
        <w:rPr>
          <w:rFonts w:asciiTheme="minorHAnsi" w:hAnsiTheme="minorHAnsi"/>
          <w:sz w:val="20"/>
          <w:szCs w:val="20"/>
        </w:rPr>
        <w:t xml:space="preserve">.   </w:t>
      </w:r>
      <w:r w:rsidR="00D12ED8" w:rsidRPr="004B1040">
        <w:rPr>
          <w:rFonts w:asciiTheme="minorHAnsi" w:hAnsiTheme="minorHAnsi"/>
          <w:sz w:val="20"/>
          <w:szCs w:val="20"/>
        </w:rPr>
        <w:t xml:space="preserve">As expected, the highest wind speeds are in the northern and eastern sections of the country, corresponding to those regions most often impacted by tropical cyclones which initially developed in the Western North Pacific (WNP) area and moved westerly to northwest direction. 1% AEP gust wind speeds exceed 250 km/h over </w:t>
      </w:r>
      <w:proofErr w:type="spellStart"/>
      <w:r w:rsidR="00D12ED8" w:rsidRPr="004B1040">
        <w:rPr>
          <w:rFonts w:asciiTheme="minorHAnsi" w:hAnsiTheme="minorHAnsi"/>
          <w:sz w:val="20"/>
          <w:szCs w:val="20"/>
        </w:rPr>
        <w:t>Catanduanes</w:t>
      </w:r>
      <w:proofErr w:type="spellEnd"/>
      <w:r w:rsidR="00D12ED8" w:rsidRPr="004B1040">
        <w:rPr>
          <w:rFonts w:asciiTheme="minorHAnsi" w:hAnsiTheme="minorHAnsi"/>
          <w:sz w:val="20"/>
          <w:szCs w:val="20"/>
        </w:rPr>
        <w:t>. Gust wind speeds are lowest over southern and western parts of Mindanao, where tropical cyclones are infrequent and less intense.</w:t>
      </w:r>
      <w:r w:rsidR="00D12ED8" w:rsidRPr="004B1040">
        <w:rPr>
          <w:rFonts w:asciiTheme="minorHAnsi" w:hAnsiTheme="minorHAnsi"/>
        </w:rPr>
        <w:t xml:space="preserve"> </w:t>
      </w:r>
    </w:p>
    <w:p w:rsidR="00D155AE" w:rsidRDefault="004B1040" w:rsidP="00D155AE">
      <w:pPr>
        <w:pStyle w:val="BodyText"/>
        <w:spacing w:before="200" w:after="0" w:line="240" w:lineRule="auto"/>
        <w:ind w:firstLine="720"/>
        <w:jc w:val="both"/>
        <w:rPr>
          <w:rFonts w:asciiTheme="minorHAnsi" w:eastAsiaTheme="minorHAnsi" w:hAnsiTheme="minorHAnsi" w:cs="Times New Roman"/>
          <w:color w:val="000000"/>
          <w:lang w:val="en-US" w:eastAsia="en-US"/>
        </w:rPr>
      </w:pPr>
      <w:r w:rsidRPr="004B1040">
        <w:rPr>
          <w:rFonts w:asciiTheme="minorHAnsi" w:eastAsiaTheme="minorHAnsi" w:hAnsiTheme="minorHAnsi" w:cs="Times New Roman"/>
          <w:color w:val="000000"/>
          <w:lang w:val="en-US" w:eastAsia="en-US"/>
        </w:rPr>
        <w:t>The impact of severe wind varies considerably between structures at various locations, due to the geographic terrain, the height of the structure concerned, the surrounding structures and topographic factors. In order to accurately estimate damage to buildings from severe winds, an understanding of wind speeds at the site of the building is required. The regional wind speed needs to be modified to reflect the effects of local land cover (e.g. forests, high-rise buildings or water bodies), the shielding effect due to upwind structures and topographic effects. This is done using so-called site</w:t>
      </w:r>
      <w:r w:rsidRPr="004B1040">
        <w:rPr>
          <w:rFonts w:asciiTheme="minorHAnsi" w:eastAsiaTheme="minorHAnsi" w:hAnsiTheme="minorHAnsi" w:cs="Times New Roman"/>
          <w:color w:val="000000"/>
          <w:lang w:val="en-US" w:eastAsia="en-US"/>
        </w:rPr>
        <w:noBreakHyphen/>
        <w:t xml:space="preserve">exposure multipliers. These site-exposure multipliers are developed using the high-resolution digital elevation and digital surface models in conjunction with multispectral aerial photography captured in LIDAR </w:t>
      </w:r>
      <w:r w:rsidR="00D155AE">
        <w:rPr>
          <w:rFonts w:asciiTheme="minorHAnsi" w:eastAsiaTheme="minorHAnsi" w:hAnsiTheme="minorHAnsi" w:cs="Times New Roman"/>
          <w:color w:val="000000"/>
          <w:lang w:val="en-US" w:eastAsia="en-US"/>
        </w:rPr>
        <w:t>Data set in GMMA</w:t>
      </w:r>
      <w:r w:rsidRPr="004B1040">
        <w:rPr>
          <w:rFonts w:asciiTheme="minorHAnsi" w:eastAsiaTheme="minorHAnsi" w:hAnsiTheme="minorHAnsi" w:cs="Times New Roman"/>
          <w:color w:val="000000"/>
          <w:lang w:val="en-US" w:eastAsia="en-US"/>
        </w:rPr>
        <w:t>.</w:t>
      </w:r>
    </w:p>
    <w:p w:rsidR="00D12ED8" w:rsidRDefault="004B1040" w:rsidP="00D155AE">
      <w:pPr>
        <w:pStyle w:val="BodyText"/>
        <w:spacing w:after="0" w:line="240" w:lineRule="auto"/>
        <w:ind w:firstLine="720"/>
        <w:jc w:val="both"/>
        <w:rPr>
          <w:rFonts w:asciiTheme="minorHAnsi" w:hAnsiTheme="minorHAnsi"/>
        </w:rPr>
      </w:pPr>
      <w:r w:rsidRPr="00D155AE">
        <w:rPr>
          <w:rFonts w:asciiTheme="minorHAnsi" w:eastAsiaTheme="minorHAnsi" w:hAnsiTheme="minorHAnsi" w:cs="Times New Roman"/>
          <w:color w:val="000000"/>
          <w:lang w:val="en-US" w:eastAsia="en-US"/>
        </w:rPr>
        <w:t>The wind risk assessment is a function of the interaction of the wind hazard, building exposure and the</w:t>
      </w:r>
      <w:r w:rsidRPr="004B1040">
        <w:rPr>
          <w:rFonts w:asciiTheme="minorHAnsi" w:hAnsiTheme="minorHAnsi"/>
        </w:rPr>
        <w:t xml:space="preserve"> vulnerability of the building structures that will be impacted by the wind hazard. The wind risk assessment can be used to determine what might be the expected losses in terms of property damage and the corresponding damage cost due to wind hazard. In assessing the risk, the western and the central sections of GMMA are subject to severe wind impact and have a higher risk than the other areas in GMMA. These areas are densely built-up with high proportion of vulnerable building types (makeshift, wood-type), old structures or “high rise” buildings, and that are located in high hazard areas. On the other hand, the expected cost of wind damage depends on the proportion of wind damaged buildings and the cost of the building.  </w:t>
      </w:r>
    </w:p>
    <w:p w:rsidR="004C7051" w:rsidRPr="00377F74" w:rsidRDefault="004C7051" w:rsidP="00A24F69">
      <w:pPr>
        <w:pStyle w:val="Default"/>
        <w:spacing w:line="360" w:lineRule="auto"/>
        <w:jc w:val="both"/>
        <w:rPr>
          <w:rFonts w:asciiTheme="minorHAnsi" w:hAnsiTheme="minorHAnsi"/>
          <w:sz w:val="20"/>
          <w:szCs w:val="20"/>
        </w:rPr>
      </w:pPr>
    </w:p>
    <w:p w:rsidR="00CA585F" w:rsidRPr="00377F74" w:rsidRDefault="00CA585F" w:rsidP="00A24F69">
      <w:pPr>
        <w:pStyle w:val="Default"/>
        <w:spacing w:line="360" w:lineRule="auto"/>
        <w:jc w:val="both"/>
        <w:rPr>
          <w:rFonts w:asciiTheme="minorHAnsi" w:hAnsiTheme="minorHAnsi"/>
          <w:sz w:val="20"/>
          <w:szCs w:val="20"/>
        </w:rPr>
      </w:pPr>
    </w:p>
    <w:p w:rsidR="00C87FF8" w:rsidRDefault="00C27175" w:rsidP="00A24F69">
      <w:pPr>
        <w:pStyle w:val="Default"/>
        <w:spacing w:line="360" w:lineRule="auto"/>
        <w:jc w:val="both"/>
        <w:rPr>
          <w:rFonts w:asciiTheme="minorHAnsi" w:hAnsiTheme="minorHAnsi"/>
          <w:sz w:val="20"/>
          <w:szCs w:val="20"/>
        </w:rPr>
      </w:pPr>
      <w:r w:rsidRPr="00377F74">
        <w:rPr>
          <w:rFonts w:asciiTheme="minorHAnsi" w:hAnsiTheme="minorHAnsi"/>
          <w:sz w:val="20"/>
          <w:szCs w:val="20"/>
        </w:rPr>
        <w:t xml:space="preserve">Keywords:  TCRM, </w:t>
      </w:r>
      <w:r w:rsidR="00D155AE">
        <w:rPr>
          <w:rFonts w:asciiTheme="minorHAnsi" w:hAnsiTheme="minorHAnsi"/>
          <w:sz w:val="20"/>
          <w:szCs w:val="20"/>
        </w:rPr>
        <w:t xml:space="preserve">LIDAR, </w:t>
      </w:r>
      <w:r w:rsidRPr="00377F74">
        <w:rPr>
          <w:rFonts w:asciiTheme="minorHAnsi" w:hAnsiTheme="minorHAnsi"/>
          <w:sz w:val="20"/>
          <w:szCs w:val="20"/>
        </w:rPr>
        <w:t xml:space="preserve">severe wind hazard </w:t>
      </w:r>
      <w:r w:rsidR="00C106D6" w:rsidRPr="00377F74">
        <w:rPr>
          <w:rFonts w:asciiTheme="minorHAnsi" w:hAnsiTheme="minorHAnsi"/>
          <w:sz w:val="20"/>
          <w:szCs w:val="20"/>
        </w:rPr>
        <w:t>modeling</w:t>
      </w:r>
      <w:r w:rsidRPr="00377F74">
        <w:rPr>
          <w:rFonts w:asciiTheme="minorHAnsi" w:hAnsiTheme="minorHAnsi"/>
          <w:sz w:val="20"/>
          <w:szCs w:val="20"/>
        </w:rPr>
        <w:t>, return period, multipliers</w:t>
      </w: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A24F69">
      <w:pPr>
        <w:pStyle w:val="Default"/>
        <w:spacing w:line="360" w:lineRule="auto"/>
        <w:jc w:val="both"/>
        <w:rPr>
          <w:rFonts w:asciiTheme="minorHAnsi" w:hAnsiTheme="minorHAnsi"/>
          <w:sz w:val="20"/>
          <w:szCs w:val="20"/>
        </w:rPr>
      </w:pPr>
    </w:p>
    <w:p w:rsidR="00D12ED8" w:rsidRDefault="00D12ED8" w:rsidP="00D12ED8">
      <w:pPr>
        <w:pStyle w:val="BodyText"/>
        <w:ind w:firstLine="720"/>
      </w:pPr>
      <w:r w:rsidRPr="0069516A">
        <w:t xml:space="preserve">The regional severe wind hazard maps were developed using TCRM, and represent a 3 second gust wind speed at 10 meter </w:t>
      </w:r>
      <w:r>
        <w:t>height above open, flat terrain</w:t>
      </w:r>
      <w:r w:rsidRPr="0069516A">
        <w:t xml:space="preserve">. As expected, the highest wind speeds are in the northern and eastern sections of the country, corresponding to those regions most often impacted by tropical cyclones which initially developed in the Western North Pacific (WNP) area and moved westerly to northwest direction. 1% AEP gust wind speeds exceed 250 km/h over </w:t>
      </w:r>
      <w:proofErr w:type="spellStart"/>
      <w:r w:rsidRPr="0069516A">
        <w:t>Catanduanes</w:t>
      </w:r>
      <w:proofErr w:type="spellEnd"/>
      <w:r w:rsidRPr="0069516A">
        <w:t xml:space="preserve">. Gust wind speeds are lowest over southern and western parts of Mindanao, where tropical cyclones are infrequent and less intense. </w:t>
      </w:r>
    </w:p>
    <w:p w:rsidR="00D12ED8" w:rsidRDefault="00D12ED8" w:rsidP="00D12ED8">
      <w:pPr>
        <w:pStyle w:val="BodyText"/>
        <w:ind w:firstLine="720"/>
      </w:pPr>
      <w:r w:rsidRPr="00D82D14">
        <w:rPr>
          <w:bCs/>
        </w:rPr>
        <w:t>The impact of severe wind varies considerably between structures at various locations, due to the geographic terrain, the heig</w:t>
      </w:r>
      <w:r>
        <w:rPr>
          <w:bCs/>
        </w:rPr>
        <w:t xml:space="preserve">ht of the structure concerned, </w:t>
      </w:r>
      <w:r w:rsidRPr="00D82D14">
        <w:rPr>
          <w:bCs/>
        </w:rPr>
        <w:t>the surrounding stru</w:t>
      </w:r>
      <w:r>
        <w:rPr>
          <w:bCs/>
        </w:rPr>
        <w:t xml:space="preserve">ctures and topographic factors. </w:t>
      </w:r>
      <w:r>
        <w:t>In order to accurately estimate damage to buildings from severe winds, an understanding of wind speeds at the site of the building is required. There are a number of factors that need to be considered to determine the local wind speed within the area. The regional wind speed needs to be modified to reflect the effects of local land cover (e.g. forests, high-rise buildings or water bodies), the shielding effect due to upwind structures and topographic effects. This is done using so-called site</w:t>
      </w:r>
      <w:r>
        <w:noBreakHyphen/>
        <w:t>exposure multipliers</w:t>
      </w:r>
      <w:r>
        <w:rPr>
          <w:rStyle w:val="FootnoteReference"/>
        </w:rPr>
        <w:footnoteReference w:id="1"/>
      </w:r>
      <w:r>
        <w:t>. These site-exposure multipliers are developed using the high-resolution digital elevation and digital surface models in conjunction with multispectral aerial photography captured in LIDAR imagery.</w:t>
      </w:r>
    </w:p>
    <w:p w:rsidR="00D12ED8" w:rsidRDefault="00D12ED8" w:rsidP="00D12ED8">
      <w:pPr>
        <w:pStyle w:val="BodyText"/>
        <w:ind w:firstLine="720"/>
      </w:pPr>
      <w:bookmarkStart w:id="0" w:name="_GoBack"/>
      <w:bookmarkEnd w:id="0"/>
      <w:r>
        <w:t xml:space="preserve">The wind risk assessment is a function of the interaction of the wind hazard, building exposure and the vulnerability of the building structures that will be impacted by the wind hazard. The wind risk assessment can be used to determine what might be the expected losses in terms of property damage and the corresponding damage cost due to wind hazard. In assessing the risk, the western and the central sections of GMMA are subject to severe wind impact and have a higher risk than the other areas in GMMA. These areas are densely built-up with high proportion of vulnerable building types (makeshift, wood-type), old structures or “high rise” buildings, and that are located in high hazard areas. On the other hand, the expected cost of wind damage depends on the proportion of wind damaged buildings and the cost of the building.  </w:t>
      </w:r>
    </w:p>
    <w:p w:rsidR="00D12ED8" w:rsidRPr="00377F74" w:rsidRDefault="00D12ED8" w:rsidP="00A24F69">
      <w:pPr>
        <w:pStyle w:val="Default"/>
        <w:spacing w:line="360" w:lineRule="auto"/>
        <w:jc w:val="both"/>
        <w:rPr>
          <w:rFonts w:asciiTheme="minorHAnsi" w:hAnsiTheme="minorHAnsi"/>
          <w:sz w:val="20"/>
          <w:szCs w:val="20"/>
        </w:rPr>
      </w:pPr>
    </w:p>
    <w:p w:rsidR="005360B7" w:rsidRPr="00377F74" w:rsidRDefault="005360B7" w:rsidP="00FA4CD4">
      <w:pPr>
        <w:autoSpaceDE w:val="0"/>
        <w:autoSpaceDN w:val="0"/>
        <w:adjustRightInd w:val="0"/>
        <w:spacing w:after="0" w:line="240" w:lineRule="auto"/>
        <w:jc w:val="both"/>
        <w:rPr>
          <w:rFonts w:cs="Times New Roman"/>
          <w:sz w:val="20"/>
          <w:szCs w:val="20"/>
        </w:rPr>
      </w:pPr>
    </w:p>
    <w:p w:rsidR="005360B7" w:rsidRPr="00377F74" w:rsidRDefault="005360B7" w:rsidP="00FA4CD4">
      <w:pPr>
        <w:autoSpaceDE w:val="0"/>
        <w:autoSpaceDN w:val="0"/>
        <w:adjustRightInd w:val="0"/>
        <w:spacing w:after="0" w:line="240" w:lineRule="auto"/>
        <w:jc w:val="both"/>
        <w:rPr>
          <w:rFonts w:cs="Times New Roman"/>
          <w:sz w:val="20"/>
          <w:szCs w:val="20"/>
        </w:rPr>
      </w:pPr>
    </w:p>
    <w:p w:rsidR="005360B7" w:rsidRPr="00377F74" w:rsidRDefault="005360B7" w:rsidP="00FA4CD4">
      <w:pPr>
        <w:autoSpaceDE w:val="0"/>
        <w:autoSpaceDN w:val="0"/>
        <w:adjustRightInd w:val="0"/>
        <w:spacing w:after="0" w:line="240" w:lineRule="auto"/>
        <w:jc w:val="both"/>
        <w:rPr>
          <w:rFonts w:cs="Times New Roman"/>
          <w:sz w:val="20"/>
          <w:szCs w:val="20"/>
        </w:rPr>
      </w:pPr>
    </w:p>
    <w:p w:rsidR="005360B7" w:rsidRPr="00377F74" w:rsidRDefault="005360B7" w:rsidP="00FA4CD4">
      <w:pPr>
        <w:autoSpaceDE w:val="0"/>
        <w:autoSpaceDN w:val="0"/>
        <w:adjustRightInd w:val="0"/>
        <w:spacing w:after="0" w:line="240" w:lineRule="auto"/>
        <w:jc w:val="both"/>
        <w:rPr>
          <w:rFonts w:cs="Times New Roman"/>
          <w:sz w:val="20"/>
          <w:szCs w:val="20"/>
        </w:rPr>
      </w:pPr>
    </w:p>
    <w:p w:rsidR="00B30647" w:rsidRPr="00377F74" w:rsidRDefault="00B30647" w:rsidP="00B30647">
      <w:pPr>
        <w:autoSpaceDE w:val="0"/>
        <w:autoSpaceDN w:val="0"/>
        <w:adjustRightInd w:val="0"/>
        <w:spacing w:after="0" w:line="240" w:lineRule="auto"/>
        <w:jc w:val="both"/>
        <w:rPr>
          <w:rFonts w:cs="Times New Roman"/>
          <w:sz w:val="20"/>
          <w:szCs w:val="20"/>
        </w:rPr>
      </w:pPr>
    </w:p>
    <w:sectPr w:rsidR="00B30647" w:rsidRPr="00377F74" w:rsidSect="00EC08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5E" w:rsidRDefault="0070715E" w:rsidP="00D12ED8">
      <w:pPr>
        <w:spacing w:after="0" w:line="240" w:lineRule="auto"/>
      </w:pPr>
      <w:r>
        <w:separator/>
      </w:r>
    </w:p>
  </w:endnote>
  <w:endnote w:type="continuationSeparator" w:id="0">
    <w:p w:rsidR="0070715E" w:rsidRDefault="0070715E" w:rsidP="00D1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5E" w:rsidRDefault="0070715E" w:rsidP="00D12ED8">
      <w:pPr>
        <w:spacing w:after="0" w:line="240" w:lineRule="auto"/>
      </w:pPr>
      <w:r>
        <w:separator/>
      </w:r>
    </w:p>
  </w:footnote>
  <w:footnote w:type="continuationSeparator" w:id="0">
    <w:p w:rsidR="0070715E" w:rsidRDefault="0070715E" w:rsidP="00D12ED8">
      <w:pPr>
        <w:spacing w:after="0" w:line="240" w:lineRule="auto"/>
      </w:pPr>
      <w:r>
        <w:continuationSeparator/>
      </w:r>
    </w:p>
  </w:footnote>
  <w:footnote w:id="1">
    <w:p w:rsidR="00D12ED8" w:rsidRDefault="00D12ED8" w:rsidP="00D12ED8">
      <w:pPr>
        <w:pStyle w:val="FootnoteText"/>
      </w:pPr>
      <w:r>
        <w:rPr>
          <w:rStyle w:val="FootnoteReference"/>
        </w:rPr>
        <w:footnoteRef/>
      </w:r>
      <w:proofErr w:type="gramStart"/>
      <w:r w:rsidRPr="00FE6AC0">
        <w:t xml:space="preserve">Lin, X.G. and </w:t>
      </w:r>
      <w:proofErr w:type="spellStart"/>
      <w:r w:rsidRPr="00FE6AC0">
        <w:t>Nadimpalli</w:t>
      </w:r>
      <w:proofErr w:type="spellEnd"/>
      <w:r w:rsidRPr="00FE6AC0">
        <w:t>, K. (2005).</w:t>
      </w:r>
      <w:proofErr w:type="gramEnd"/>
      <w:r w:rsidRPr="00FE6AC0">
        <w:t xml:space="preserve"> Natural Hazard Risk in Perth: Chapter 3: Severe Wind Hazard Assessment in Metropolitan Perth, </w:t>
      </w:r>
      <w:proofErr w:type="spellStart"/>
      <w:r w:rsidRPr="00FE6AC0">
        <w:t>Geoscience</w:t>
      </w:r>
      <w:proofErr w:type="spellEnd"/>
      <w:r w:rsidRPr="00FE6AC0">
        <w:t xml:space="preserve"> Australia Report, </w:t>
      </w:r>
      <w:proofErr w:type="spellStart"/>
      <w:proofErr w:type="gramStart"/>
      <w:r w:rsidRPr="00FE6AC0">
        <w:t>GeoCat</w:t>
      </w:r>
      <w:proofErr w:type="spellEnd"/>
      <w:proofErr w:type="gramEnd"/>
      <w:r w:rsidRPr="00FE6AC0">
        <w:t xml:space="preserve"> No. 63527.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30647"/>
    <w:rsid w:val="00004690"/>
    <w:rsid w:val="00046A5A"/>
    <w:rsid w:val="000B00F6"/>
    <w:rsid w:val="001D7E72"/>
    <w:rsid w:val="002228A7"/>
    <w:rsid w:val="00285FE0"/>
    <w:rsid w:val="002953DE"/>
    <w:rsid w:val="00377F74"/>
    <w:rsid w:val="003815F7"/>
    <w:rsid w:val="003A4940"/>
    <w:rsid w:val="00454C8B"/>
    <w:rsid w:val="004771B5"/>
    <w:rsid w:val="004B1040"/>
    <w:rsid w:val="004C7051"/>
    <w:rsid w:val="005000DE"/>
    <w:rsid w:val="00506039"/>
    <w:rsid w:val="005360B7"/>
    <w:rsid w:val="0059746C"/>
    <w:rsid w:val="005F4604"/>
    <w:rsid w:val="0064242F"/>
    <w:rsid w:val="00674DEF"/>
    <w:rsid w:val="006A3526"/>
    <w:rsid w:val="006C5605"/>
    <w:rsid w:val="006F73D5"/>
    <w:rsid w:val="0070715E"/>
    <w:rsid w:val="0072611C"/>
    <w:rsid w:val="0073576F"/>
    <w:rsid w:val="00767362"/>
    <w:rsid w:val="007C217C"/>
    <w:rsid w:val="00843050"/>
    <w:rsid w:val="00895742"/>
    <w:rsid w:val="00A24F69"/>
    <w:rsid w:val="00A37C18"/>
    <w:rsid w:val="00AC564A"/>
    <w:rsid w:val="00B21CD3"/>
    <w:rsid w:val="00B30647"/>
    <w:rsid w:val="00BB18F8"/>
    <w:rsid w:val="00C106D6"/>
    <w:rsid w:val="00C27175"/>
    <w:rsid w:val="00C87FF8"/>
    <w:rsid w:val="00CA22A4"/>
    <w:rsid w:val="00CA585F"/>
    <w:rsid w:val="00CB59A6"/>
    <w:rsid w:val="00CC326A"/>
    <w:rsid w:val="00D04F0D"/>
    <w:rsid w:val="00D12ED8"/>
    <w:rsid w:val="00D155AE"/>
    <w:rsid w:val="00D15A17"/>
    <w:rsid w:val="00DB2670"/>
    <w:rsid w:val="00E14C01"/>
    <w:rsid w:val="00E24DFD"/>
    <w:rsid w:val="00E533A0"/>
    <w:rsid w:val="00E95C89"/>
    <w:rsid w:val="00EB553C"/>
    <w:rsid w:val="00EC0889"/>
    <w:rsid w:val="00EE3110"/>
    <w:rsid w:val="00F86145"/>
    <w:rsid w:val="00FA4CD4"/>
    <w:rsid w:val="00FE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17"/>
    <w:rPr>
      <w:rFonts w:ascii="Tahoma" w:hAnsi="Tahoma" w:cs="Tahoma"/>
      <w:sz w:val="16"/>
      <w:szCs w:val="16"/>
    </w:rPr>
  </w:style>
  <w:style w:type="paragraph" w:customStyle="1" w:styleId="Default">
    <w:name w:val="Default"/>
    <w:rsid w:val="001D7E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link w:val="BodyTextChar"/>
    <w:qFormat/>
    <w:rsid w:val="00D12ED8"/>
    <w:pPr>
      <w:spacing w:before="180" w:after="180" w:line="280" w:lineRule="atLeast"/>
    </w:pPr>
    <w:rPr>
      <w:rFonts w:ascii="Arial" w:eastAsia="Times" w:hAnsi="Arial" w:cs="Arial"/>
      <w:sz w:val="20"/>
      <w:szCs w:val="20"/>
      <w:lang w:val="en-AU" w:eastAsia="en-AU"/>
    </w:rPr>
  </w:style>
  <w:style w:type="character" w:customStyle="1" w:styleId="BodyTextChar">
    <w:name w:val="Body Text Char"/>
    <w:basedOn w:val="DefaultParagraphFont"/>
    <w:link w:val="BodyText"/>
    <w:rsid w:val="00D12ED8"/>
    <w:rPr>
      <w:rFonts w:ascii="Arial" w:eastAsia="Times" w:hAnsi="Arial" w:cs="Arial"/>
      <w:sz w:val="20"/>
      <w:szCs w:val="20"/>
      <w:lang w:val="en-AU" w:eastAsia="en-AU"/>
    </w:rPr>
  </w:style>
  <w:style w:type="paragraph" w:styleId="FootnoteText">
    <w:name w:val="footnote text"/>
    <w:link w:val="FootnoteTextChar"/>
    <w:rsid w:val="00D12ED8"/>
    <w:pPr>
      <w:tabs>
        <w:tab w:val="left" w:pos="284"/>
      </w:tabs>
      <w:spacing w:before="30" w:after="0" w:line="240" w:lineRule="auto"/>
      <w:ind w:left="113" w:hanging="113"/>
    </w:pPr>
    <w:rPr>
      <w:rFonts w:ascii="Arial" w:eastAsia="Times" w:hAnsi="Arial" w:cs="Arial"/>
      <w:sz w:val="16"/>
      <w:szCs w:val="20"/>
      <w:lang w:val="en-AU" w:eastAsia="en-AU"/>
    </w:rPr>
  </w:style>
  <w:style w:type="character" w:customStyle="1" w:styleId="FootnoteTextChar">
    <w:name w:val="Footnote Text Char"/>
    <w:basedOn w:val="DefaultParagraphFont"/>
    <w:link w:val="FootnoteText"/>
    <w:rsid w:val="00D12ED8"/>
    <w:rPr>
      <w:rFonts w:ascii="Arial" w:eastAsia="Times" w:hAnsi="Arial" w:cs="Arial"/>
      <w:sz w:val="16"/>
      <w:szCs w:val="20"/>
      <w:lang w:val="en-AU" w:eastAsia="en-AU"/>
    </w:rPr>
  </w:style>
  <w:style w:type="character" w:styleId="FootnoteReference">
    <w:name w:val="footnote reference"/>
    <w:basedOn w:val="FootnoteTextChar"/>
    <w:semiHidden/>
    <w:rsid w:val="00D12ED8"/>
    <w:rPr>
      <w:rFonts w:ascii="Arial" w:eastAsia="Times" w:hAnsi="Arial" w:cs="Arial"/>
      <w:sz w:val="16"/>
      <w:szCs w:val="20"/>
      <w:vertAlign w:val="superscript"/>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cp:lastModifiedBy>
  <cp:revision>2</cp:revision>
  <cp:lastPrinted>2013-02-19T04:28:00Z</cp:lastPrinted>
  <dcterms:created xsi:type="dcterms:W3CDTF">2014-09-18T01:49:00Z</dcterms:created>
  <dcterms:modified xsi:type="dcterms:W3CDTF">2014-09-18T01:49:00Z</dcterms:modified>
</cp:coreProperties>
</file>